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SYLLABUS</w:t>
      </w:r>
    </w:p>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КЕШЕНДІ КЛИНИКАЛЫҚ ДИАГНОСТИКА КУРСЫ</w:t>
      </w:r>
    </w:p>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ИНТЕГРИРОВАННЫЙ КУРС КЛИНИЧЕСКОЙ ДИАГНОСТИКИ</w:t>
      </w:r>
    </w:p>
    <w:p>
      <w:pPr>
        <w:pStyle w:val="Normal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INTEGRATED CLINICAL DIAGNOSIS COURSE</w:t>
      </w:r>
    </w:p>
    <w:tbl>
      <w:tblPr>
        <w:tblStyle w:val="Table1"/>
        <w:tblW w:w="10226" w:type="dxa"/>
        <w:jc w:val="left"/>
        <w:tblInd w:w="-572" w:type="dxa"/>
        <w:tblLayout w:type="fixed"/>
        <w:tblCellMar>
          <w:top w:w="0" w:type="dxa"/>
          <w:left w:w="108" w:type="dxa"/>
          <w:bottom w:w="0" w:type="dxa"/>
          <w:right w:w="108" w:type="dxa"/>
        </w:tblCellMar>
        <w:tblLook w:val="0400"/>
      </w:tblPr>
      <w:tblGrid>
        <w:gridCol w:w="559"/>
        <w:gridCol w:w="6"/>
        <w:gridCol w:w="810"/>
        <w:gridCol w:w="41"/>
        <w:gridCol w:w="5"/>
        <w:gridCol w:w="135"/>
        <w:gridCol w:w="584"/>
        <w:gridCol w:w="417"/>
        <w:gridCol w:w="251"/>
        <w:gridCol w:w="450"/>
        <w:gridCol w:w="9"/>
        <w:gridCol w:w="416"/>
        <w:gridCol w:w="1132"/>
        <w:gridCol w:w="285"/>
        <w:gridCol w:w="160"/>
        <w:gridCol w:w="580"/>
        <w:gridCol w:w="677"/>
        <w:gridCol w:w="3694"/>
        <w:gridCol w:w="14"/>
      </w:tblGrid>
      <w:tr>
        <w:trPr/>
        <w:tc>
          <w:tcPr>
            <w:tcW w:w="559"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w:t>
            </w:r>
          </w:p>
        </w:tc>
        <w:tc>
          <w:tcPr>
            <w:tcW w:w="9666" w:type="dxa"/>
            <w:gridSpan w:val="18"/>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General information about the discipline</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Faculty/School: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Медицины и здравоохранения</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1.6 </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Credits (ECTS):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 12 credits - 360 hours</w:t>
            </w:r>
          </w:p>
        </w:tc>
      </w:tr>
      <w:tr>
        <w:trPr>
          <w:trHeight w:val="425"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Educational program (EP):</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6B10114 МЕДИЦИНА </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6B10114 МЕДИЦИНА </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6B10114 MEDICINE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1.7 </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u w:val="single"/>
              </w:rPr>
            </w:pPr>
            <w:r>
              <w:rPr>
                <w:rFonts w:eastAsia="Times New Roman" w:cs="Times New Roman" w:ascii="Times New Roman" w:hAnsi="Times New Roman"/>
                <w:b/>
                <w:sz w:val="24"/>
                <w:szCs w:val="24"/>
                <w:u w:val="single"/>
              </w:rPr>
              <w:t>Prerequisites</w:t>
            </w:r>
            <w:r>
              <w:rPr>
                <w:rFonts w:eastAsia="Times New Roman" w:cs="Times New Roman" w:ascii="Times New Roman" w:hAnsi="Times New Roman"/>
                <w:sz w:val="24"/>
                <w:szCs w:val="24"/>
                <w:u w:val="single"/>
              </w:rPr>
              <w: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Жүйелердің патологиясы -2/Патология органов и систем-2/Pathology of organ's and systems-2</w:t>
            </w:r>
          </w:p>
          <w:p>
            <w:pPr>
              <w:pStyle w:val="Normal1"/>
              <w:widowControl w:val="false"/>
              <w:spacing w:lineRule="auto" w:line="240" w:before="0" w:after="0"/>
              <w:jc w:val="both"/>
              <w:rPr>
                <w:rFonts w:ascii="Times New Roman" w:hAnsi="Times New Roman" w:eastAsia="Times New Roman" w:cs="Times New Roman"/>
                <w:sz w:val="24"/>
                <w:szCs w:val="24"/>
                <w:u w:val="single"/>
              </w:rPr>
            </w:pPr>
            <w:r>
              <w:rPr>
                <w:rFonts w:eastAsia="Times New Roman" w:cs="Times New Roman" w:ascii="Times New Roman" w:hAnsi="Times New Roman"/>
                <w:b/>
                <w:sz w:val="24"/>
                <w:szCs w:val="24"/>
                <w:u w:val="single"/>
              </w:rPr>
              <w:t>Postrequisites</w:t>
            </w:r>
            <w:r>
              <w:rPr>
                <w:rFonts w:eastAsia="Times New Roman" w:cs="Times New Roman" w:ascii="Times New Roman" w:hAnsi="Times New Roman"/>
                <w:sz w:val="24"/>
                <w:szCs w:val="24"/>
                <w:u w:val="single"/>
              </w:rPr>
              <w: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Инфектология модулі/Модуль Инфектология/Infectology module</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Фтизитария/Фтизиатрия/Phtisiatry</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Дерматовенерология/Дерматовенерология/ Dermatovenerology</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Тропикалық аурулар/ Тропические болезни/Tropical diseases</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4701" w:type="dxa"/>
            <w:gridSpan w:val="14"/>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Agency and year of accreditation of the EP</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HAAR 2021</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1.8 </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SIW/SPM/SRD (qty):</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60 hours </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 _</w:t>
            </w:r>
          </w:p>
          <w:p>
            <w:pPr>
              <w:pStyle w:val="Normal1"/>
              <w:widowControl w:val="false"/>
              <w:spacing w:lineRule="auto" w:line="240" w:before="0" w:after="0"/>
              <w:jc w:val="both"/>
              <w:rPr>
                <w:rFonts w:ascii="Times New Roman" w:hAnsi="Times New Roman" w:eastAsia="Times New Roman" w:cs="Times New Roman"/>
                <w:sz w:val="24"/>
                <w:szCs w:val="24"/>
                <w:highlight w:val="yellow"/>
              </w:rPr>
            </w:pPr>
            <w:r>
              <w:rPr>
                <w:rFonts w:eastAsia="Times New Roman" w:cs="Times New Roman" w:ascii="Times New Roman" w:hAnsi="Times New Roman"/>
                <w:sz w:val="24"/>
                <w:szCs w:val="24"/>
                <w:highlight w:val="yellow"/>
              </w:rPr>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Name of discipline:</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Кешенді клиникалық диагностика курсы/Интегрированный курс клинической диагностики/Integrated clinical diagnosis course</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1.9</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SRSP/SRMP/SRDP (number):</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60 hours</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1.5</w:t>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 xml:space="preserve">ID: </w:t>
            </w:r>
            <w:r>
              <w:rPr>
                <w:rFonts w:eastAsia="Times New Roman" w:cs="Times New Roman" w:ascii="Times New Roman" w:hAnsi="Times New Roman"/>
                <w:b/>
                <w:sz w:val="24"/>
                <w:szCs w:val="24"/>
              </w:rPr>
              <w:t>90565</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Discipline Code: </w:t>
            </w:r>
            <w:r>
              <w:rPr>
                <w:rFonts w:eastAsia="Times New Roman" w:cs="Times New Roman" w:ascii="Times New Roman" w:hAnsi="Times New Roman"/>
                <w:b/>
                <w:sz w:val="24"/>
                <w:szCs w:val="24"/>
              </w:rPr>
              <w:t>IKKD 4320</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1.10</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i/>
                <w:sz w:val="24"/>
                <w:szCs w:val="24"/>
              </w:rPr>
              <w:t xml:space="preserve">Required </w:t>
            </w:r>
            <w:r>
              <w:rPr>
                <w:rFonts w:eastAsia="Times New Roman" w:cs="Times New Roman" w:ascii="Times New Roman" w:hAnsi="Times New Roman"/>
                <w:sz w:val="24"/>
                <w:szCs w:val="24"/>
              </w:rPr>
              <w:t>- yes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559"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w:t>
            </w:r>
          </w:p>
        </w:tc>
        <w:tc>
          <w:tcPr>
            <w:tcW w:w="9666" w:type="dxa"/>
            <w:gridSpan w:val="18"/>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Description of the discipline</w:t>
            </w:r>
          </w:p>
        </w:tc>
      </w:tr>
      <w:tr>
        <w:trPr/>
        <w:tc>
          <w:tcPr>
            <w:tcW w:w="559"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9666" w:type="dxa"/>
            <w:gridSpan w:val="18"/>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During the study of the course with the formation of students' abilities: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to develop the skills of identifying, interpreting and critically evaluating information obtained during the examination of a patient with key clinical syndromes, draw up a diagnosis and treatment plan, make professional decisions based on the analysis of the rationality of diagnosis and applying the principles of evidence-based and personalized medicine</w:t>
            </w:r>
          </w:p>
        </w:tc>
      </w:tr>
      <w:tr>
        <w:trPr/>
        <w:tc>
          <w:tcPr>
            <w:tcW w:w="559"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w:t>
            </w:r>
          </w:p>
        </w:tc>
        <w:tc>
          <w:tcPr>
            <w:tcW w:w="9666" w:type="dxa"/>
            <w:gridSpan w:val="18"/>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Purpose of the discipline</w:t>
            </w:r>
          </w:p>
        </w:tc>
      </w:tr>
      <w:tr>
        <w:trPr/>
        <w:tc>
          <w:tcPr>
            <w:tcW w:w="10225" w:type="dxa"/>
            <w:gridSpan w:val="19"/>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to develop the skills of identifying, interpreting and critically evaluating information obtained during the examination of a patient with key clinical syndromes to draw up a diagnosis and treatment plan, make professional decisions based on the analysis of the rationality of diagnosis and applying the principles of evidence-based and personalized medicine</w:t>
            </w:r>
          </w:p>
        </w:tc>
      </w:tr>
      <w:tr>
        <w:trPr/>
        <w:tc>
          <w:tcPr>
            <w:tcW w:w="559"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w:t>
            </w:r>
          </w:p>
        </w:tc>
        <w:tc>
          <w:tcPr>
            <w:tcW w:w="9666" w:type="dxa"/>
            <w:gridSpan w:val="18"/>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Learning outcomes (LO) by discipline (3-5)</w:t>
            </w:r>
          </w:p>
        </w:tc>
      </w:tr>
      <w:tr>
        <w:trPr/>
        <w:tc>
          <w:tcPr>
            <w:tcW w:w="559"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LO disciplines</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LO on the educational program,</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with which the LO is associated in the discipline</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(No. LO from the EP passport)</w:t>
            </w:r>
          </w:p>
        </w:tc>
      </w:tr>
      <w:tr>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apply knowledge of basic and clinical disciplines to identify, interpret and critically evaluate information obtained during the examination of a patient with key clinical syndromes (fever, chest pain, syncope, etc.) from the standpoint of an interdisciplinary approach;</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- 3</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3"/>
              </w:numPr>
              <w:pBdr/>
              <w:shd w:val="clear" w:fill="FFFFFF"/>
              <w:tabs>
                <w:tab w:val="clear" w:pos="720"/>
                <w:tab w:val="left" w:pos="31" w:leader="none"/>
                <w:tab w:val="left" w:pos="8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240"/>
              <w:ind w:left="391"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apply knowledge of basic and clinical disciplines to identify, interpret and critically evaluate information obtained during the examination of a patient with key clinical syndromes (fever, chest pain, syncope, etc.) from the standpoint of an interdisciplinary approach;</w:t>
            </w:r>
          </w:p>
        </w:tc>
      </w:tr>
      <w:tr>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3"/>
              </w:numPr>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interpret, analyse, evaluate and prioritize relevant data to formulate a diagnostic and disease management plan, apply this knowledge to solve the problem of differential diagnosis;</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- 3</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FFFFFF"/>
              <w:tabs>
                <w:tab w:val="clear" w:pos="720"/>
                <w:tab w:val="left" w:pos="31" w:leader="none"/>
                <w:tab w:val="left" w:pos="8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24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interpret, analyze, evaluate and prioritize relevant data to formulate a diagnosis and disease management plan, apply this knowledge to solve the problem of differential diagnosis;</w:t>
            </w:r>
          </w:p>
        </w:tc>
      </w:tr>
      <w:tr>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make professional decisions based on the analysis of the rationality of diagnostics and applying the principles of evidence-based and personalized medicine;</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- 2</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tabs>
                <w:tab w:val="clear" w:pos="720"/>
                <w:tab w:val="left" w:pos="31" w:leader="none"/>
                <w:tab w:val="left" w:pos="884" w:leader="none"/>
              </w:tabs>
              <w:spacing w:lineRule="auto" w:line="240" w:before="0" w:after="24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make professional decisions based on the analysis of the rationality of diagnostics and applying the principles of evidence-based and personalized medicine;</w:t>
            </w:r>
          </w:p>
        </w:tc>
      </w:tr>
      <w:tr>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integrate clinical knowledge and skills to provide an individual approach in the treatment of a particular patient and strengthening his health in accordance with his needs;</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- 3</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tabs>
                <w:tab w:val="clear" w:pos="720"/>
                <w:tab w:val="left" w:pos="31" w:leader="none"/>
                <w:tab w:val="left" w:pos="884" w:leader="none"/>
              </w:tabs>
              <w:spacing w:lineRule="auto" w:line="240" w:before="0" w:after="24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integrate clinical knowledge and skills to provide an individual approach to the treatment of a particular patient and strengthening his health in accordance with his needs;</w:t>
            </w:r>
          </w:p>
        </w:tc>
      </w:tr>
      <w:tr>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effectively collect, communicate and maintain oral and written medical information to provide safe and effective patient care;</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- 3</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FFFFFF"/>
              <w:tabs>
                <w:tab w:val="clear" w:pos="720"/>
                <w:tab w:val="left" w:pos="31" w:leader="none"/>
                <w:tab w:val="left" w:pos="884"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effectively collect, communicate and store medical information in oral and written form to provide safe and effective care to patients;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highlight w:val="white"/>
                <w:u w:val="none"/>
                <w:vertAlign w:val="baseline"/>
              </w:rPr>
              <w:t xml:space="preserve"> </w:t>
            </w:r>
          </w:p>
        </w:tc>
      </w:tr>
      <w:tr>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demonstrate communication skills when working with patients and legal representatives; teamwork skills, organization and management of the diagnostic and treatment process;</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- 2</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demonstrate communication skills when working with patients and legal representatives; teamwork skills, organization and management of the diagnostic and treatment process;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demonstrate commitment to professional values such as altruism, compassion, empathy, responsibility, honesty and confidentiality;</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- 3</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demonstrate adherence to professional values such as altruism, compassion, empathy, responsibility, honesty and confidentiality;</w:t>
            </w:r>
          </w:p>
        </w:tc>
      </w:tr>
      <w:tr>
        <w:trPr>
          <w:trHeight w:val="1620" w:hRule="atLeast"/>
        </w:trPr>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demonstrate the ability and need for continuous professional training and improvement of their knowledge and professional skills.</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Proficiency level - 2</w:t>
            </w:r>
          </w:p>
        </w:tc>
        <w:tc>
          <w:tcPr>
            <w:tcW w:w="4965" w:type="dxa"/>
            <w:gridSpan w:val="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FFFFFF"/>
              <w:tabs>
                <w:tab w:val="clear" w:pos="720"/>
                <w:tab w:val="left" w:pos="360" w:leader="none"/>
                <w:tab w:val="left" w:pos="572"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demonstrate the ability and need for continuous professional training and improvement of their knowledge and skills of professional activity.</w:t>
            </w:r>
          </w:p>
        </w:tc>
      </w:tr>
      <w:tr>
        <w:trPr/>
        <w:tc>
          <w:tcPr>
            <w:tcW w:w="559"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5 .</w:t>
            </w:r>
          </w:p>
        </w:tc>
        <w:tc>
          <w:tcPr>
            <w:tcW w:w="9666" w:type="dxa"/>
            <w:gridSpan w:val="18"/>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Summative assessment methods </w:t>
            </w:r>
            <w:r>
              <w:rPr>
                <w:rFonts w:eastAsia="Times New Roman" w:cs="Times New Roman" w:ascii="Times New Roman" w:hAnsi="Times New Roman"/>
                <w:i/>
                <w:sz w:val="24"/>
                <w:szCs w:val="24"/>
              </w:rPr>
              <w:t xml:space="preserve">(check </w:t>
            </w:r>
            <w:r>
              <w:rPr>
                <w:rFonts w:eastAsia="Times New Roman" w:cs="Times New Roman" w:ascii="Times New Roman" w:hAnsi="Times New Roman"/>
                <w:sz w:val="24"/>
                <w:szCs w:val="24"/>
              </w:rPr>
              <w:t xml:space="preserve">(yes - no) / </w:t>
            </w:r>
            <w:r>
              <w:rPr>
                <w:rFonts w:eastAsia="Times New Roman" w:cs="Times New Roman" w:ascii="Times New Roman" w:hAnsi="Times New Roman"/>
                <w:i/>
                <w:sz w:val="24"/>
                <w:szCs w:val="24"/>
              </w:rPr>
              <w:t xml:space="preserve">specify your own) </w:t>
            </w:r>
            <w:r>
              <w:rPr>
                <w:rFonts w:eastAsia="Times New Roman" w:cs="Times New Roman" w:ascii="Times New Roman" w:hAnsi="Times New Roman"/>
                <w:b/>
                <w:sz w:val="24"/>
                <w:szCs w:val="24"/>
              </w:rPr>
              <w:t>:</w:t>
            </w:r>
            <w:r>
              <w:rPr>
                <w:rFonts w:eastAsia="Times New Roman" w:cs="Times New Roman" w:ascii="Times New Roman" w:hAnsi="Times New Roman"/>
                <w:i/>
                <w:sz w:val="24"/>
                <w:szCs w:val="24"/>
              </w:rPr>
              <w:t xml:space="preserve"> </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5.1</w:t>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Conducting PBL</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5.5</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Portfolio of scientific works</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5.2</w:t>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Passing practical skills - miniclinical exam (MiniCex) for the 4th year</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5.6</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2C2D2E"/>
                <w:sz w:val="24"/>
                <w:szCs w:val="24"/>
              </w:rPr>
              <w:t>Curation, clinical skills</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5.3</w:t>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3. SIW </w:t>
            </w:r>
            <w:r>
              <w:rPr>
                <w:rFonts w:eastAsia="Times New Roman" w:cs="Times New Roman" w:ascii="Times New Roman" w:hAnsi="Times New Roman"/>
                <w:color w:val="2C2D2E"/>
                <w:sz w:val="24"/>
                <w:szCs w:val="24"/>
              </w:rPr>
              <w:t xml:space="preserve">(case, video, simulation or SRW - thesis, report, article) </w:t>
            </w:r>
            <w:r>
              <w:rPr>
                <w:rFonts w:eastAsia="Times New Roman" w:cs="Times New Roman" w:ascii="Times New Roman" w:hAnsi="Times New Roman"/>
                <w:sz w:val="24"/>
                <w:szCs w:val="24"/>
              </w:rPr>
              <w:t>- assessment of the creative task.</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5.7</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Line control: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Stage 1 - Testing on MCQ for understanding and application</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Stage 2 - passing practical skills (miniclinical exam (MiniCex) for the 4th year)</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5.4</w:t>
            </w:r>
          </w:p>
        </w:tc>
        <w:tc>
          <w:tcPr>
            <w:tcW w:w="4701"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Medical history - for the 4th course</w:t>
            </w:r>
          </w:p>
        </w:tc>
        <w:tc>
          <w:tcPr>
            <w:tcW w:w="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5.8</w:t>
            </w:r>
          </w:p>
        </w:tc>
        <w:tc>
          <w:tcPr>
            <w:tcW w:w="4385"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Exam:</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Stage 1 - Testing on MCQ for understanding and application</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Stage 2 - OSCE</w:t>
            </w:r>
          </w:p>
        </w:tc>
      </w:tr>
      <w:tr>
        <w:trPr/>
        <w:tc>
          <w:tcPr>
            <w:tcW w:w="565"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w:t>
            </w:r>
          </w:p>
        </w:tc>
        <w:tc>
          <w:tcPr>
            <w:tcW w:w="9660" w:type="dxa"/>
            <w:gridSpan w:val="17"/>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Detailed information about the discipline</w:t>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6.1</w:t>
            </w:r>
          </w:p>
        </w:tc>
        <w:tc>
          <w:tcPr>
            <w:tcW w:w="2702" w:type="dxa"/>
            <w:gridSpan w:val="9"/>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Academic year:</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2024-2025</w:t>
            </w:r>
          </w:p>
        </w:tc>
        <w:tc>
          <w:tcPr>
            <w:tcW w:w="1548"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6.3</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Schedule/ Timetable (days of classes, time):</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From 8.00 to 14.30</w:t>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6.2 _</w:t>
            </w:r>
          </w:p>
        </w:tc>
        <w:tc>
          <w:tcPr>
            <w:tcW w:w="2702" w:type="dxa"/>
            <w:gridSpan w:val="9"/>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Semester:</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7-8 semester</w:t>
            </w:r>
          </w:p>
        </w:tc>
        <w:tc>
          <w:tcPr>
            <w:tcW w:w="1548"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6.4</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Place (educational building, office, platform and link to the DOT learning meeting):</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City Clinical Hospital No.1, City Clinical Hospital No.7</w:t>
            </w:r>
          </w:p>
        </w:tc>
      </w:tr>
      <w:tr>
        <w:trPr/>
        <w:tc>
          <w:tcPr>
            <w:tcW w:w="565"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7.</w:t>
            </w:r>
          </w:p>
        </w:tc>
        <w:tc>
          <w:tcPr>
            <w:tcW w:w="9660" w:type="dxa"/>
            <w:gridSpan w:val="17"/>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Discipline Leader</w:t>
            </w:r>
          </w:p>
        </w:tc>
      </w:tr>
      <w:tr>
        <w:trPr/>
        <w:tc>
          <w:tcPr>
            <w:tcW w:w="1556"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Position</w:t>
            </w:r>
          </w:p>
        </w:tc>
        <w:tc>
          <w:tcPr>
            <w:tcW w:w="1702"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Full name</w:t>
            </w:r>
          </w:p>
        </w:tc>
        <w:tc>
          <w:tcPr>
            <w:tcW w:w="155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Department</w:t>
            </w:r>
          </w:p>
        </w:tc>
        <w:tc>
          <w:tcPr>
            <w:tcW w:w="1702"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Contact Information</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(tel., e - mail )</w:t>
            </w:r>
          </w:p>
        </w:tc>
        <w:tc>
          <w:tcPr>
            <w:tcW w:w="369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Advice before exams</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1556"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Senior Lecturer</w:t>
            </w:r>
          </w:p>
        </w:tc>
        <w:tc>
          <w:tcPr>
            <w:tcW w:w="1702"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Kuzenbayeva D</w:t>
            </w:r>
          </w:p>
        </w:tc>
        <w:tc>
          <w:tcPr>
            <w:tcW w:w="1557"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Clinical disciplines</w:t>
            </w:r>
          </w:p>
        </w:tc>
        <w:tc>
          <w:tcPr>
            <w:tcW w:w="1702"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+7019450088</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dinara2022@gmail.com</w:t>
            </w:r>
          </w:p>
        </w:tc>
        <w:tc>
          <w:tcPr>
            <w:tcW w:w="369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w:t>
            </w:r>
          </w:p>
        </w:tc>
        <w:tc>
          <w:tcPr>
            <w:tcW w:w="9660" w:type="dxa"/>
            <w:gridSpan w:val="17"/>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 content of the discipline</w:t>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Topic name</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Number of hours</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Conduct form</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2" w:hRule="atLeast"/>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Catarrh</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0" w:hRule="atLeast"/>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Stridor and obstruction</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0" w:hRule="atLeast"/>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Dyspnea</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0" w:hRule="atLeast"/>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Fever</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1190" w:hRule="atLeast"/>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FFAFA" w:val="clear"/>
              </w:rPr>
              <w:t>Syncope. Shock</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FFAFA" w:val="clear"/>
              </w:rPr>
              <w:t>Arterial hypertension</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Chest pain</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 MCQ</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Edema</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 MCQ</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shd w:fill="FFFAFA" w:val="clear"/>
              </w:rPr>
              <w:t>Abdominal pain. Diarrhea</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 MCQ</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Jaundice and hepatitis syndrome</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 MCQ</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2140"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color w:val="000000"/>
                <w:sz w:val="24"/>
                <w:szCs w:val="24"/>
              </w:rPr>
              <w:t>Midterm control 1</w:t>
            </w:r>
          </w:p>
        </w:tc>
        <w:tc>
          <w:tcPr>
            <w:tcW w:w="8085"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Summative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stages: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1-stage - MCQ testing for understanding and application - 40 %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2-stage - mini clinical exam (MiniCex) - 60%</w:t>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1245"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 xml:space="preserve">Diabetes (hyperglycemia). </w:t>
            </w:r>
            <w:r>
              <w:rPr>
                <w:rFonts w:eastAsia="Times New Roman" w:cs="Times New Roman" w:ascii="Times New Roman" w:hAnsi="Times New Roman"/>
                <w:sz w:val="24"/>
                <w:szCs w:val="24"/>
              </w:rPr>
              <w:t>Violation of the acid-base state</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Hypernatremia and hyponatremia. Hypercalcemia</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Anemia</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 xml:space="preserve">Joint syndrome. </w:t>
            </w:r>
            <w:r>
              <w:rPr>
                <w:rFonts w:eastAsia="Times New Roman" w:cs="Times New Roman" w:ascii="Times New Roman" w:hAnsi="Times New Roman"/>
                <w:sz w:val="24"/>
                <w:szCs w:val="24"/>
              </w:rPr>
              <w:t>Backache</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Sudden weight loss</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Acute kidney injury</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945"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Headache</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Delirium</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Immunodeficiency, weakness Screening</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6"/>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118"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93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Rash</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511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Formative assessment:</w:t>
            </w:r>
          </w:p>
          <w:p>
            <w:pPr>
              <w:pStyle w:val="Normal1"/>
              <w:widowControl w:val="false"/>
              <w:spacing w:lineRule="auto" w:line="240" w:before="0" w:after="0"/>
              <w:jc w:val="both"/>
              <w:rPr>
                <w:rFonts w:ascii="Times New Roman" w:hAnsi="Times New Roman" w:eastAsia="Times New Roman" w:cs="Times New Roman"/>
                <w:sz w:val="24"/>
                <w:szCs w:val="24"/>
              </w:rPr>
            </w:pPr>
            <w:bookmarkStart w:id="0" w:name="_gjdgxs"/>
            <w:bookmarkEnd w:id="0"/>
            <w:r>
              <w:rPr>
                <w:rFonts w:eastAsia="Times New Roman" w:cs="Times New Roman" w:ascii="Times New Roman" w:hAnsi="Times New Roman"/>
                <w:sz w:val="24"/>
                <w:szCs w:val="24"/>
              </w:rPr>
              <w:t xml:space="preserve">1. Use of active learning methods : </w:t>
            </w:r>
            <w:r>
              <w:rPr>
                <w:rFonts w:eastAsia="Times New Roman" w:cs="Times New Roman" w:ascii="Times New Roman" w:hAnsi="Times New Roman"/>
                <w:b/>
                <w:sz w:val="24"/>
                <w:szCs w:val="24"/>
              </w:rPr>
              <w:t xml:space="preserve">PBL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Work with the patient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Mini-conference of the SIW topic</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2140"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color w:val="000000"/>
                <w:sz w:val="24"/>
                <w:szCs w:val="24"/>
              </w:rPr>
              <w:t>Midterm control 2</w:t>
            </w:r>
          </w:p>
        </w:tc>
        <w:tc>
          <w:tcPr>
            <w:tcW w:w="8085"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Summative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stages: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1-stage - MCQ testing for understanding and application - 40 %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2-stage - mini clinical exam ( MiniCex ) - 60%</w:t>
            </w:r>
          </w:p>
        </w:tc>
      </w:tr>
      <w:tr>
        <w:trPr/>
        <w:tc>
          <w:tcPr>
            <w:tcW w:w="2140"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Final control (exam)</w:t>
            </w:r>
          </w:p>
        </w:tc>
        <w:tc>
          <w:tcPr>
            <w:tcW w:w="8085"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Summative assessment: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stages: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Stage 1 - MCQ testing for understanding and application - 40 %</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2nd stage - OSCE - 60%</w:t>
            </w:r>
          </w:p>
        </w:tc>
      </w:tr>
      <w:tr>
        <w:trPr/>
        <w:tc>
          <w:tcPr>
            <w:tcW w:w="6517"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Total</w:t>
            </w:r>
          </w:p>
        </w:tc>
        <w:tc>
          <w:tcPr>
            <w:tcW w:w="369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100</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w:t>
            </w:r>
          </w:p>
        </w:tc>
        <w:tc>
          <w:tcPr>
            <w:tcW w:w="9660" w:type="dxa"/>
            <w:gridSpan w:val="17"/>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Methods of teaching in the discipline</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(briefly describe the teaching and learning approaches that will be used in teaching)</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Using active learning methods: PBL</w:t>
            </w:r>
          </w:p>
        </w:tc>
      </w:tr>
      <w:tr>
        <w:trPr>
          <w:trHeight w:val="150" w:hRule="atLeast"/>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9660"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Formative assessment methods:</w:t>
            </w:r>
            <w:r>
              <w:rPr>
                <w:rFonts w:eastAsia="Times New Roman" w:cs="Times New Roman" w:ascii="Times New Roman" w:hAnsi="Times New Roman"/>
                <w:sz w:val="24"/>
                <w:szCs w:val="24"/>
              </w:rPr>
              <w:t xml:space="preserve"> </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PBL – Problem based Learning ( </w:t>
            </w:r>
            <w:hyperlink r:id="rId2">
              <w:r>
                <w:rPr>
                  <w:rFonts w:eastAsia="Times New Roman" w:cs="Times New Roman" w:ascii="Times New Roman" w:hAnsi="Times New Roman"/>
                  <w:sz w:val="24"/>
                  <w:szCs w:val="24"/>
                </w:rPr>
                <w:t xml:space="preserve">https://www.queensu.ca/ctl/resources/instructional-strategies/problem-based-learning ) _ _ _ _ _ _ _ _ _ _ _ _ _ _ _ _ _ _ _ </w:t>
              </w:r>
            </w:hyperlink>
            <w:r>
              <w:rPr>
                <w:rFonts w:eastAsia="Times New Roman" w:cs="Times New Roman" w:ascii="Times New Roman" w:hAnsi="Times New Roman"/>
                <w:sz w:val="24"/>
                <w:szCs w:val="24"/>
              </w:rPr>
              <w:t>_</w:t>
            </w:r>
          </w:p>
        </w:tc>
      </w:tr>
      <w:tr>
        <w:trPr>
          <w:trHeight w:val="150" w:hRule="atLeast"/>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9660"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Summative assessment methods (from point 5):</w:t>
            </w:r>
            <w:r>
              <w:rPr>
                <w:rFonts w:eastAsia="Times New Roman" w:cs="Times New Roman" w:ascii="Times New Roman" w:hAnsi="Times New Roman"/>
                <w:sz w:val="24"/>
                <w:szCs w:val="24"/>
              </w:rPr>
              <w:t xml:space="preserve">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MCQ testing for understanding and application</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Passing practical skills - miniclinical exam (MiniCex)</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3. SIW - </w:t>
            </w:r>
            <w:r>
              <w:rPr>
                <w:rFonts w:eastAsia="Times New Roman" w:cs="Times New Roman" w:ascii="Times New Roman" w:hAnsi="Times New Roman"/>
                <w:b/>
                <w:sz w:val="24"/>
                <w:szCs w:val="24"/>
              </w:rPr>
              <w:t>creative task</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Medical history</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Scientific project SSRW (student’s scientific research work)</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360 score - behavior and professionalism</w:t>
            </w:r>
          </w:p>
        </w:tc>
      </w:tr>
      <w:tr>
        <w:trPr/>
        <w:tc>
          <w:tcPr>
            <w:tcW w:w="559"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9666" w:type="dxa"/>
            <w:gridSpan w:val="18"/>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b/>
                <w:sz w:val="24"/>
                <w:szCs w:val="24"/>
              </w:rPr>
              <w:t xml:space="preserve">Summative assessment </w:t>
            </w:r>
            <w:r>
              <w:rPr>
                <w:rFonts w:eastAsia="Times New Roman" w:cs="Times New Roman" w:ascii="Times New Roman" w:hAnsi="Times New Roman"/>
                <w:i/>
                <w:sz w:val="24"/>
                <w:szCs w:val="24"/>
              </w:rPr>
              <w:t>(specify grades)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No.</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Forms of control</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General %  from total %</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222222"/>
                <w:sz w:val="24"/>
                <w:szCs w:val="24"/>
              </w:rPr>
              <w:t>Patient history defence</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30% </w:t>
            </w:r>
            <w:r>
              <w:rPr>
                <w:rFonts w:eastAsia="Times New Roman" w:cs="Times New Roman" w:ascii="Times New Roman" w:hAnsi="Times New Roman"/>
                <w:sz w:val="24"/>
                <w:szCs w:val="24"/>
              </w:rPr>
              <w:t>(estimated by the checklist)</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Border control</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70%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(1-stage – MCQ testing for understanding and application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stage – mini clinical exam (MiniCex) - 60%)</w:t>
            </w:r>
          </w:p>
        </w:tc>
      </w:tr>
      <w:tr>
        <w:trPr>
          <w:trHeight w:val="151" w:hRule="atLeast"/>
        </w:trPr>
        <w:tc>
          <w:tcPr>
            <w:tcW w:w="3683"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Border control 1</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30 + 70 = 100%</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222222"/>
                <w:sz w:val="24"/>
                <w:szCs w:val="24"/>
              </w:rPr>
              <w:t>Patient history defence</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20% </w:t>
            </w:r>
            <w:r>
              <w:rPr>
                <w:rFonts w:eastAsia="Times New Roman" w:cs="Times New Roman" w:ascii="Times New Roman" w:hAnsi="Times New Roman"/>
                <w:sz w:val="24"/>
                <w:szCs w:val="24"/>
              </w:rPr>
              <w:t>(estimated by the checklist)</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2C2D2E"/>
                <w:sz w:val="24"/>
                <w:szCs w:val="24"/>
              </w:rPr>
              <w:t xml:space="preserve">Scientific work </w:t>
            </w:r>
            <w:r>
              <w:rPr>
                <w:rFonts w:eastAsia="Times New Roman" w:cs="Times New Roman" w:ascii="Times New Roman" w:hAnsi="Times New Roman"/>
                <w:sz w:val="24"/>
                <w:szCs w:val="24"/>
              </w:rPr>
              <w:t>SSRW (student’s scientific research work)</w:t>
            </w:r>
            <w:r>
              <w:rPr>
                <w:rFonts w:eastAsia="Times New Roman" w:cs="Times New Roman" w:ascii="Times New Roman" w:hAnsi="Times New Roman"/>
                <w:color w:val="2C2D2E"/>
                <w:sz w:val="24"/>
                <w:szCs w:val="24"/>
              </w:rPr>
              <w:t xml:space="preserve"> ( </w:t>
            </w:r>
            <w:r>
              <w:rPr>
                <w:rFonts w:eastAsia="Times New Roman" w:cs="Times New Roman" w:ascii="Times New Roman" w:hAnsi="Times New Roman"/>
                <w:sz w:val="24"/>
                <w:szCs w:val="24"/>
              </w:rPr>
              <w:t>preparation of thematic reports for conferences, participation in the SSS of the department, speeches at conferences, participation in work, scientific and practical conferences, symposiums, etc.</w:t>
            </w:r>
            <w:r>
              <w:rPr>
                <w:rFonts w:eastAsia="Times New Roman" w:cs="Times New Roman" w:ascii="Times New Roman" w:hAnsi="Times New Roman"/>
                <w:color w:val="2C2D2E"/>
                <w:sz w:val="24"/>
                <w:szCs w:val="24"/>
              </w:rPr>
              <w:t>)</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color w:val="000000"/>
                <w:sz w:val="24"/>
                <w:szCs w:val="24"/>
              </w:rPr>
              <w:t xml:space="preserve">10% </w:t>
            </w:r>
            <w:r>
              <w:rPr>
                <w:rFonts w:eastAsia="Times New Roman" w:cs="Times New Roman" w:ascii="Times New Roman" w:hAnsi="Times New Roman"/>
                <w:sz w:val="24"/>
                <w:szCs w:val="24"/>
              </w:rPr>
              <w:t>(estimated by the checklist)</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sz w:val="24"/>
                <w:szCs w:val="24"/>
              </w:rPr>
              <w:t>360 score - behavior and professionalism</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10% </w:t>
            </w:r>
            <w:r>
              <w:rPr>
                <w:rFonts w:eastAsia="Times New Roman" w:cs="Times New Roman" w:ascii="Times New Roman" w:hAnsi="Times New Roman"/>
                <w:sz w:val="24"/>
                <w:szCs w:val="24"/>
              </w:rPr>
              <w:t>(estimated by the checklist)</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Border control</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60%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(1-stage – MCQ testing for understanding and application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stage – mini clinical exam (MiniCex) - 60%)</w:t>
            </w:r>
          </w:p>
        </w:tc>
      </w:tr>
      <w:tr>
        <w:trPr>
          <w:trHeight w:val="151" w:hRule="atLeast"/>
        </w:trPr>
        <w:tc>
          <w:tcPr>
            <w:tcW w:w="3683" w:type="dxa"/>
            <w:gridSpan w:val="12"/>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Border control 2</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20 + 10 + 10 + 60 = 100%</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Exam</w:t>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stages: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1st stage - testing on MCQ for understanding and application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2nd stage - OSCE with NP - 60%</w:t>
            </w:r>
          </w:p>
        </w:tc>
      </w:tr>
      <w:tr>
        <w:trPr>
          <w:trHeight w:val="151" w:hRule="atLeast"/>
        </w:trPr>
        <w:tc>
          <w:tcPr>
            <w:tcW w:w="5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3124" w:type="dxa"/>
            <w:gridSpan w:val="11"/>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b/>
                <w:color w:val="000000"/>
                <w:sz w:val="24"/>
                <w:szCs w:val="24"/>
              </w:rPr>
              <w:t>Final score:</w:t>
            </w:r>
            <w:r>
              <w:rPr>
                <w:rFonts w:eastAsia="Times New Roman" w:cs="Times New Roman" w:ascii="Times New Roman" w:hAnsi="Times New Roman"/>
                <w:color w:val="000000"/>
                <w:sz w:val="24"/>
                <w:szCs w:val="24"/>
              </w:rPr>
              <w:t>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6542"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OAR (overall admission rating)</w:t>
            </w:r>
            <w:r>
              <w:rPr>
                <w:rFonts w:eastAsia="Times New Roman" w:cs="Times New Roman" w:ascii="Times New Roman" w:hAnsi="Times New Roman"/>
                <w:sz w:val="24"/>
                <w:szCs w:val="24"/>
              </w:rPr>
              <w:t xml:space="preserve"> 60% + Exam 40%</w:t>
            </w:r>
          </w:p>
        </w:tc>
      </w:tr>
      <w:tr>
        <w:trPr/>
        <w:tc>
          <w:tcPr>
            <w:tcW w:w="559"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9666" w:type="dxa"/>
            <w:gridSpan w:val="18"/>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Grade</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rHeight w:val="151"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Rating by letter system</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Digital</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equivalent</w:t>
            </w:r>
            <w:r>
              <w:rPr>
                <w:rFonts w:eastAsia="Times New Roman" w:cs="Times New Roman" w:ascii="Times New Roman" w:hAnsi="Times New Roman"/>
                <w:sz w:val="24"/>
                <w:szCs w:val="24"/>
              </w:rPr>
              <w:t>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Points</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content)</w:t>
            </w:r>
            <w:r>
              <w:rPr>
                <w:rFonts w:eastAsia="Times New Roman" w:cs="Times New Roman" w:ascii="Times New Roman" w:hAnsi="Times New Roman"/>
                <w:sz w:val="24"/>
                <w:szCs w:val="24"/>
              </w:rPr>
              <w:t>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Assessment Description</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(changes should be made only at the level of the decision of the Academic Committee on the quality of the faculty)</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A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4.0 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95-100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Great. </w:t>
            </w:r>
            <w:r>
              <w:rPr>
                <w:rFonts w:eastAsia="Times New Roman" w:cs="Times New Roman" w:ascii="Times New Roman" w:hAnsi="Times New Roman"/>
                <w:sz w:val="24"/>
                <w:szCs w:val="24"/>
              </w:rPr>
              <w:t>Exceeds the highest job standards.</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A-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3.67 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90-94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Great. </w:t>
            </w:r>
            <w:r>
              <w:rPr>
                <w:rFonts w:eastAsia="Times New Roman" w:cs="Times New Roman" w:ascii="Times New Roman" w:hAnsi="Times New Roman"/>
                <w:sz w:val="24"/>
                <w:szCs w:val="24"/>
              </w:rPr>
              <w:t>Meets the highest job standards.</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B+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3.33 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85-89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Fine. </w:t>
            </w:r>
            <w:r>
              <w:rPr>
                <w:rFonts w:eastAsia="Times New Roman" w:cs="Times New Roman" w:ascii="Times New Roman" w:hAnsi="Times New Roman"/>
                <w:sz w:val="24"/>
                <w:szCs w:val="24"/>
              </w:rPr>
              <w:t>Very good. Meets high job standards.</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B</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3.0 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80-84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Fine. </w:t>
            </w:r>
            <w:r>
              <w:rPr>
                <w:rFonts w:eastAsia="Times New Roman" w:cs="Times New Roman" w:ascii="Times New Roman" w:hAnsi="Times New Roman"/>
                <w:sz w:val="24"/>
                <w:szCs w:val="24"/>
              </w:rPr>
              <w:t>Meets most job standards.</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B-</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2.67 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75-79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Fine. </w:t>
            </w:r>
            <w:r>
              <w:rPr>
                <w:rFonts w:eastAsia="Times New Roman" w:cs="Times New Roman" w:ascii="Times New Roman" w:hAnsi="Times New Roman"/>
                <w:sz w:val="24"/>
                <w:szCs w:val="24"/>
              </w:rPr>
              <w:t>More than enough. Shows some reasonable command of the material.</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C+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2.33 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70-74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Fine. </w:t>
            </w:r>
            <w:r>
              <w:rPr>
                <w:rFonts w:eastAsia="Times New Roman" w:cs="Times New Roman" w:ascii="Times New Roman" w:hAnsi="Times New Roman"/>
                <w:sz w:val="24"/>
                <w:szCs w:val="24"/>
              </w:rPr>
              <w:t>Acceptable. Meets key job standards.</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C</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2.0 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65-69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Satisfactorily. </w:t>
            </w:r>
            <w:r>
              <w:rPr>
                <w:rFonts w:eastAsia="Times New Roman" w:cs="Times New Roman" w:ascii="Times New Roman" w:hAnsi="Times New Roman"/>
                <w:sz w:val="24"/>
                <w:szCs w:val="24"/>
              </w:rPr>
              <w:t>Acceptable. Meets some basic job standards.</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C-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1.67 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60-64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Satisfactorily. </w:t>
            </w:r>
            <w:r>
              <w:rPr>
                <w:rFonts w:eastAsia="Times New Roman" w:cs="Times New Roman" w:ascii="Times New Roman" w:hAnsi="Times New Roman"/>
                <w:sz w:val="24"/>
                <w:szCs w:val="24"/>
              </w:rPr>
              <w:t>Acceptable. Meets some basic job standards.</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D+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1.33 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55-59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Satisfactorily. </w:t>
            </w:r>
            <w:r>
              <w:rPr>
                <w:rFonts w:eastAsia="Times New Roman" w:cs="Times New Roman" w:ascii="Times New Roman" w:hAnsi="Times New Roman"/>
                <w:sz w:val="24"/>
                <w:szCs w:val="24"/>
              </w:rPr>
              <w:t>Minimum acceptable.</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D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1.0 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50-54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Satisfactorily. </w:t>
            </w:r>
            <w:r>
              <w:rPr>
                <w:rFonts w:eastAsia="Times New Roman" w:cs="Times New Roman" w:ascii="Times New Roman" w:hAnsi="Times New Roman"/>
                <w:sz w:val="24"/>
                <w:szCs w:val="24"/>
              </w:rPr>
              <w:t>Minimum acceptable. The lowest level of knowledge and task completion.</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FX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0.5 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25-49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Unsatisfactory. </w:t>
            </w:r>
            <w:r>
              <w:rPr>
                <w:rFonts w:eastAsia="Times New Roman" w:cs="Times New Roman" w:ascii="Times New Roman" w:hAnsi="Times New Roman"/>
                <w:sz w:val="24"/>
                <w:szCs w:val="24"/>
              </w:rPr>
              <w:t>Minimum acceptable.</w:t>
            </w:r>
          </w:p>
        </w:tc>
      </w:tr>
      <w:tr>
        <w:trPr>
          <w:trHeight w:val="150" w:hRule="atLeast"/>
        </w:trPr>
        <w:tc>
          <w:tcPr>
            <w:tcW w:w="142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F </w:t>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0 </w:t>
            </w:r>
          </w:p>
        </w:tc>
        <w:tc>
          <w:tcPr>
            <w:tcW w:w="225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0-24 </w:t>
            </w:r>
          </w:p>
        </w:tc>
        <w:tc>
          <w:tcPr>
            <w:tcW w:w="5410"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Unsatisfactory. </w:t>
            </w:r>
            <w:r>
              <w:rPr>
                <w:rFonts w:eastAsia="Times New Roman" w:cs="Times New Roman" w:ascii="Times New Roman" w:hAnsi="Times New Roman"/>
                <w:sz w:val="24"/>
                <w:szCs w:val="24"/>
              </w:rPr>
              <w:t>Very low productivity.</w:t>
            </w:r>
          </w:p>
        </w:tc>
      </w:tr>
      <w:tr>
        <w:trPr/>
        <w:tc>
          <w:tcPr>
            <w:tcW w:w="565"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11.</w:t>
            </w:r>
          </w:p>
        </w:tc>
        <w:tc>
          <w:tcPr>
            <w:tcW w:w="9660"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Learning Resources </w:t>
            </w:r>
            <w:r>
              <w:rPr>
                <w:rFonts w:eastAsia="Times New Roman" w:cs="Times New Roman" w:ascii="Times New Roman" w:hAnsi="Times New Roman"/>
                <w:i/>
                <w:sz w:val="24"/>
                <w:szCs w:val="24"/>
              </w:rPr>
              <w:t>(use full link and indicate where texts/materials can be accessed)</w:t>
            </w:r>
          </w:p>
        </w:tc>
      </w:tr>
      <w:tr>
        <w:trPr>
          <w:trHeight w:val="2399" w:hRule="atLeast"/>
        </w:trPr>
        <w:tc>
          <w:tcPr>
            <w:tcW w:w="1416" w:type="dxa"/>
            <w:gridSpan w:val="4"/>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Literature</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795"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Main</w:t>
            </w:r>
          </w:p>
          <w:tbl>
            <w:tblPr>
              <w:tblStyle w:val="Table2"/>
              <w:tblW w:w="8134" w:type="dxa"/>
              <w:jc w:val="left"/>
              <w:tblInd w:w="0" w:type="dxa"/>
              <w:tblLayout w:type="fixed"/>
              <w:tblCellMar>
                <w:top w:w="0" w:type="dxa"/>
                <w:left w:w="108" w:type="dxa"/>
                <w:bottom w:w="0" w:type="dxa"/>
                <w:right w:w="108" w:type="dxa"/>
              </w:tblCellMar>
              <w:tblLook w:val="0400"/>
            </w:tblPr>
            <w:tblGrid>
              <w:gridCol w:w="3295"/>
              <w:gridCol w:w="3967"/>
              <w:gridCol w:w="872"/>
            </w:tblGrid>
            <w:tr>
              <w:trPr>
                <w:trHeight w:val="50" w:hRule="atLeast"/>
              </w:trPr>
              <w:tc>
                <w:tcPr>
                  <w:tcW w:w="3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Author</w:t>
                  </w:r>
                </w:p>
              </w:tc>
              <w:tc>
                <w:tcPr>
                  <w:tcW w:w="396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Name of the book, publisher</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 year of publishing</w:t>
                  </w:r>
                </w:p>
              </w:tc>
            </w:tr>
            <w:tr>
              <w:trPr>
                <w:trHeight w:val="438" w:hRule="atLeast"/>
              </w:trPr>
              <w:tc>
                <w:tcPr>
                  <w:tcW w:w="3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ind w:right="111"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second edition. Scott DC Stern, Adam S. Cifu, Diane Altkorn</w:t>
                  </w:r>
                </w:p>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6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before="0" w:after="160"/>
                    <w:ind w:right="111"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SYMPTOM TO DIAGNOSIS. An Evidence Based Guide. 4th edition </w:t>
                  </w:r>
                  <w:r>
                    <w:rPr>
                      <w:rFonts w:eastAsia="Times New Roman" w:cs="Times New Roman" w:ascii="Times New Roman" w:hAnsi="Times New Roman"/>
                      <w:color w:val="000000"/>
                      <w:sz w:val="24"/>
                      <w:szCs w:val="24"/>
                      <w:vertAlign w:val="superscript"/>
                    </w:rPr>
                    <w:t>_</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438" w:hRule="atLeast"/>
              </w:trPr>
              <w:tc>
                <w:tcPr>
                  <w:tcW w:w="3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before="0" w:after="160"/>
                    <w:ind w:right="111" w:hanging="0"/>
                    <w:rPr>
                      <w:rFonts w:ascii="Times New Roman" w:hAnsi="Times New Roman" w:eastAsia="Times New Roman" w:cs="Times New Roman"/>
                      <w:b/>
                      <w:b/>
                      <w:color w:val="000000"/>
                      <w:sz w:val="24"/>
                      <w:szCs w:val="24"/>
                    </w:rPr>
                  </w:pPr>
                  <w:r>
                    <w:rPr>
                      <w:rFonts w:eastAsia="Times New Roman" w:cs="Times New Roman" w:ascii="Times New Roman" w:hAnsi="Times New Roman"/>
                      <w:b w:val="false"/>
                      <w:color w:val="343536"/>
                      <w:sz w:val="24"/>
                      <w:szCs w:val="24"/>
                    </w:rPr>
                    <w:t>Joseph Loscalzo, Dennis L. Kasper, Dan L. Longo, Anthony S. Fauci, Stephen L. Hauser, J. Larry Jameson</w:t>
                  </w:r>
                </w:p>
              </w:tc>
              <w:tc>
                <w:tcPr>
                  <w:tcW w:w="396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before="0" w:after="160"/>
                    <w:ind w:right="111"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Principle's of internal medicine, 19th edition, 21st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2016, 2019, 2021</w:t>
                  </w:r>
                </w:p>
              </w:tc>
            </w:tr>
          </w:tbl>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Additional</w:t>
            </w:r>
          </w:p>
          <w:tbl>
            <w:tblPr>
              <w:tblStyle w:val="Table3"/>
              <w:tblW w:w="8134" w:type="dxa"/>
              <w:jc w:val="left"/>
              <w:tblInd w:w="0" w:type="dxa"/>
              <w:tblLayout w:type="fixed"/>
              <w:tblCellMar>
                <w:top w:w="0" w:type="dxa"/>
                <w:left w:w="108" w:type="dxa"/>
                <w:bottom w:w="0" w:type="dxa"/>
                <w:right w:w="108" w:type="dxa"/>
              </w:tblCellMar>
              <w:tblLook w:val="0400"/>
            </w:tblPr>
            <w:tblGrid>
              <w:gridCol w:w="3435"/>
              <w:gridCol w:w="3827"/>
              <w:gridCol w:w="872"/>
            </w:tblGrid>
            <w:tr>
              <w:trPr>
                <w:trHeight w:val="50"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Author</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Name of the book, publisher</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 year of publishing</w:t>
                  </w:r>
                </w:p>
              </w:tc>
            </w:tr>
            <w:tr>
              <w:trPr>
                <w:trHeight w:val="319"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Professor Parveen Kumar, Dr Michael Clark</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Clinical Medicine Eighth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257"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Marc S. Sabatine</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Pocket MEDICINE Fourth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5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Brian R., Nicki R. Stuart H., Ian D.</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Davidson's principles and practice of Medicine 22 </w:t>
                  </w:r>
                  <w:r>
                    <w:rPr>
                      <w:rFonts w:eastAsia="Times New Roman" w:cs="Times New Roman" w:ascii="Times New Roman" w:hAnsi="Times New Roman"/>
                      <w:color w:val="000000"/>
                      <w:sz w:val="24"/>
                      <w:szCs w:val="24"/>
                      <w:vertAlign w:val="superscript"/>
                    </w:rPr>
                    <w:t xml:space="preserve">th </w:t>
                  </w:r>
                  <w:r>
                    <w:rPr>
                      <w:rFonts w:eastAsia="Times New Roman" w:cs="Times New Roman" w:ascii="Times New Roman" w:hAnsi="Times New Roman"/>
                      <w:color w:val="000000"/>
                      <w:sz w:val="24"/>
                      <w:szCs w:val="24"/>
                    </w:rPr>
                    <w:t>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641"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hyperlink r:id="rId3">
                    <w:r>
                      <w:rPr>
                        <w:rFonts w:eastAsia="Times New Roman" w:cs="Times New Roman" w:ascii="Times New Roman" w:hAnsi="Times New Roman"/>
                        <w:color w:val="000000"/>
                        <w:sz w:val="24"/>
                        <w:szCs w:val="24"/>
                        <w:highlight w:val="white"/>
                        <w:u w:val="none"/>
                      </w:rPr>
                      <w:t xml:space="preserve">Anthony S. Fauci </w:t>
                    </w:r>
                  </w:hyperlink>
                  <w:r>
                    <w:rPr>
                      <w:rFonts w:eastAsia="Times New Roman" w:cs="Times New Roman" w:ascii="Times New Roman" w:hAnsi="Times New Roman"/>
                      <w:sz w:val="24"/>
                      <w:szCs w:val="24"/>
                      <w:highlight w:val="white"/>
                    </w:rPr>
                    <w:t xml:space="preserve">, </w:t>
                  </w:r>
                  <w:hyperlink r:id="rId4">
                    <w:r>
                      <w:rPr>
                        <w:rFonts w:eastAsia="Times New Roman" w:cs="Times New Roman" w:ascii="Times New Roman" w:hAnsi="Times New Roman"/>
                        <w:color w:val="000000"/>
                        <w:sz w:val="24"/>
                        <w:szCs w:val="24"/>
                        <w:highlight w:val="white"/>
                        <w:u w:val="none"/>
                      </w:rPr>
                      <w:t xml:space="preserve">Eugene Braunwald </w:t>
                    </w:r>
                  </w:hyperlink>
                  <w:r>
                    <w:rPr>
                      <w:rFonts w:eastAsia="Times New Roman" w:cs="Times New Roman" w:ascii="Times New Roman" w:hAnsi="Times New Roman"/>
                      <w:sz w:val="24"/>
                      <w:szCs w:val="24"/>
                      <w:highlight w:val="white"/>
                    </w:rPr>
                    <w:t xml:space="preserve">, </w:t>
                  </w:r>
                  <w:hyperlink r:id="rId5">
                    <w:r>
                      <w:rPr>
                        <w:rFonts w:eastAsia="Times New Roman" w:cs="Times New Roman" w:ascii="Times New Roman" w:hAnsi="Times New Roman"/>
                        <w:color w:val="000000"/>
                        <w:sz w:val="24"/>
                        <w:szCs w:val="24"/>
                        <w:highlight w:val="white"/>
                        <w:u w:val="none"/>
                      </w:rPr>
                      <w:t xml:space="preserve">Dennis L. Kasper </w:t>
                    </w:r>
                  </w:hyperlink>
                  <w:r>
                    <w:rPr>
                      <w:rFonts w:eastAsia="Times New Roman" w:cs="Times New Roman" w:ascii="Times New Roman" w:hAnsi="Times New Roman"/>
                      <w:sz w:val="24"/>
                      <w:szCs w:val="24"/>
                      <w:highlight w:val="white"/>
                    </w:rPr>
                    <w:t xml:space="preserve">, </w:t>
                  </w:r>
                  <w:hyperlink r:id="rId6">
                    <w:r>
                      <w:rPr>
                        <w:rFonts w:eastAsia="Times New Roman" w:cs="Times New Roman" w:ascii="Times New Roman" w:hAnsi="Times New Roman"/>
                        <w:color w:val="000000"/>
                        <w:sz w:val="24"/>
                        <w:szCs w:val="24"/>
                        <w:highlight w:val="white"/>
                        <w:u w:val="none"/>
                      </w:rPr>
                      <w:t>Stephen L. Hauser</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HARRISON'S Infectious Diseases, Derived from Harrison's Principles of Internal Medicine, 17th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497"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hyperlink r:id="rId7">
                    <w:r>
                      <w:rPr>
                        <w:rFonts w:eastAsia="Times New Roman" w:cs="Times New Roman" w:ascii="Times New Roman" w:hAnsi="Times New Roman"/>
                        <w:color w:val="000000"/>
                        <w:sz w:val="24"/>
                        <w:szCs w:val="24"/>
                        <w:highlight w:val="white"/>
                        <w:u w:val="none"/>
                      </w:rPr>
                      <w:t xml:space="preserve">John E. Bennett MD </w:t>
                    </w:r>
                  </w:hyperlink>
                  <w:r>
                    <w:rPr>
                      <w:rFonts w:eastAsia="Times New Roman" w:cs="Times New Roman" w:ascii="Times New Roman" w:hAnsi="Times New Roman"/>
                      <w:sz w:val="24"/>
                      <w:szCs w:val="24"/>
                      <w:highlight w:val="white"/>
                    </w:rPr>
                    <w:t xml:space="preserve">, </w:t>
                  </w:r>
                  <w:hyperlink r:id="rId8">
                    <w:r>
                      <w:rPr>
                        <w:rFonts w:eastAsia="Times New Roman" w:cs="Times New Roman" w:ascii="Times New Roman" w:hAnsi="Times New Roman"/>
                        <w:color w:val="000000"/>
                        <w:sz w:val="24"/>
                        <w:szCs w:val="24"/>
                        <w:highlight w:val="white"/>
                        <w:u w:val="none"/>
                      </w:rPr>
                      <w:t xml:space="preserve">Raphael Dolin MD </w:t>
                    </w:r>
                  </w:hyperlink>
                  <w:r>
                    <w:rPr>
                      <w:rFonts w:eastAsia="Times New Roman" w:cs="Times New Roman" w:ascii="Times New Roman" w:hAnsi="Times New Roman"/>
                      <w:sz w:val="24"/>
                      <w:szCs w:val="24"/>
                      <w:highlight w:val="white"/>
                    </w:rPr>
                    <w:t xml:space="preserve">, </w:t>
                  </w:r>
                  <w:hyperlink r:id="rId9">
                    <w:r>
                      <w:rPr>
                        <w:rFonts w:eastAsia="Times New Roman" w:cs="Times New Roman" w:ascii="Times New Roman" w:hAnsi="Times New Roman"/>
                        <w:color w:val="000000"/>
                        <w:sz w:val="24"/>
                        <w:szCs w:val="24"/>
                        <w:highlight w:val="white"/>
                        <w:u w:val="none"/>
                      </w:rPr>
                      <w:t>Martin J. Blaser MD</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Mandell, Douglas, and Bennett's Infectious Disease ESSENTIALS</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2017</w:t>
                  </w:r>
                </w:p>
              </w:tc>
            </w:tr>
            <w:tr>
              <w:trPr>
                <w:trHeight w:val="259"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David Schlossberg, MD, FACP</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Clinical Infectious Disease SECOND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78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hyperlink r:id="rId10">
                    <w:r>
                      <w:rPr>
                        <w:rFonts w:eastAsia="Times New Roman" w:cs="Times New Roman" w:ascii="Times New Roman" w:hAnsi="Times New Roman"/>
                        <w:color w:val="000000"/>
                        <w:sz w:val="24"/>
                        <w:szCs w:val="24"/>
                        <w:highlight w:val="white"/>
                        <w:u w:val="none"/>
                      </w:rPr>
                      <w:t xml:space="preserve">Joseph J. Zorc </w:t>
                    </w:r>
                  </w:hyperlink>
                  <w:r>
                    <w:rPr>
                      <w:rFonts w:eastAsia="Times New Roman" w:cs="Times New Roman" w:ascii="Times New Roman" w:hAnsi="Times New Roman"/>
                      <w:sz w:val="24"/>
                      <w:szCs w:val="24"/>
                      <w:highlight w:val="white"/>
                    </w:rPr>
                    <w:t xml:space="preserve">, </w:t>
                  </w:r>
                  <w:hyperlink r:id="rId11">
                    <w:r>
                      <w:rPr>
                        <w:rFonts w:eastAsia="Times New Roman" w:cs="Times New Roman" w:ascii="Times New Roman" w:hAnsi="Times New Roman"/>
                        <w:color w:val="000000"/>
                        <w:sz w:val="24"/>
                        <w:szCs w:val="24"/>
                        <w:highlight w:val="white"/>
                        <w:u w:val="none"/>
                      </w:rPr>
                      <w:t xml:space="preserve">Elizabeth R. Alpern </w:t>
                    </w:r>
                  </w:hyperlink>
                  <w:r>
                    <w:rPr>
                      <w:rFonts w:eastAsia="Times New Roman" w:cs="Times New Roman" w:ascii="Times New Roman" w:hAnsi="Times New Roman"/>
                      <w:sz w:val="24"/>
                      <w:szCs w:val="24"/>
                      <w:highlight w:val="white"/>
                    </w:rPr>
                    <w:t xml:space="preserve">, </w:t>
                  </w:r>
                  <w:hyperlink r:id="rId12">
                    <w:r>
                      <w:rPr>
                        <w:rFonts w:eastAsia="Times New Roman" w:cs="Times New Roman" w:ascii="Times New Roman" w:hAnsi="Times New Roman"/>
                        <w:color w:val="000000"/>
                        <w:sz w:val="24"/>
                        <w:szCs w:val="24"/>
                        <w:highlight w:val="white"/>
                        <w:u w:val="none"/>
                      </w:rPr>
                      <w:t xml:space="preserve">Lawrence W. Brown </w:t>
                    </w:r>
                  </w:hyperlink>
                  <w:r>
                    <w:rPr>
                      <w:rFonts w:eastAsia="Times New Roman" w:cs="Times New Roman" w:ascii="Times New Roman" w:hAnsi="Times New Roman"/>
                      <w:sz w:val="24"/>
                      <w:szCs w:val="24"/>
                      <w:highlight w:val="white"/>
                    </w:rPr>
                    <w:t xml:space="preserve">, </w:t>
                  </w:r>
                  <w:hyperlink r:id="rId13">
                    <w:r>
                      <w:rPr>
                        <w:rFonts w:eastAsia="Times New Roman" w:cs="Times New Roman" w:ascii="Times New Roman" w:hAnsi="Times New Roman"/>
                        <w:color w:val="000000"/>
                        <w:sz w:val="24"/>
                        <w:szCs w:val="24"/>
                        <w:highlight w:val="white"/>
                        <w:u w:val="none"/>
                      </w:rPr>
                      <w:t>Kathleen M. Loomes</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Clinical Handbook of Pediatrics, Schwartz's, fifth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2013</w:t>
                  </w:r>
                </w:p>
              </w:tc>
            </w:tr>
            <w:tr>
              <w:trPr>
                <w:trHeight w:val="27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Henry M. Adam, MD, FAAP Jane Meschan Foy, MD, FAAP</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Signs &amp; Symptoms IN PEDIATRICS</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323"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Richard P. Usatine, Camille Sabella</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The color atlas of pediatrics</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409" w:hRule="atLeast"/>
              </w:trPr>
              <w:tc>
                <w:tcPr>
                  <w:tcW w:w="3435" w:type="dxa"/>
                  <w:tcBorders>
                    <w:left w:val="single" w:sz="4" w:space="0" w:color="000000"/>
                    <w:bottom w:val="single" w:sz="4" w:space="0" w:color="000000"/>
                    <w:right w:val="single" w:sz="4" w:space="0" w:color="000000"/>
                  </w:tcBorders>
                  <w:shd w:fill="auto" w:val="clear"/>
                  <w:vAlign w:val="center"/>
                </w:tcPr>
                <w:p>
                  <w:pPr>
                    <w:pStyle w:val="2"/>
                    <w:widowControl w:val="false"/>
                    <w:shd w:val="clear" w:fill="FFFFFF"/>
                    <w:spacing w:lineRule="auto" w:line="240" w:before="150" w:after="0"/>
                    <w:rPr>
                      <w:rFonts w:ascii="Times New Roman" w:hAnsi="Times New Roman" w:eastAsia="Times New Roman" w:cs="Times New Roman"/>
                      <w:color w:val="777674"/>
                      <w:sz w:val="24"/>
                      <w:szCs w:val="24"/>
                    </w:rPr>
                  </w:pPr>
                  <w:r>
                    <w:rPr>
                      <w:rFonts w:eastAsia="Times New Roman" w:cs="Times New Roman" w:ascii="Times New Roman" w:hAnsi="Times New Roman"/>
                      <w:b/>
                      <w:color w:val="777674"/>
                      <w:sz w:val="24"/>
                      <w:szCs w:val="24"/>
                    </w:rPr>
                    <w:t>David E Golan</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PRINCIPLES of PHARMACOLOGY, Fourth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2017</w:t>
                  </w:r>
                </w:p>
              </w:tc>
            </w:tr>
            <w:tr>
              <w:trPr>
                <w:trHeight w:val="52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Joseph Loscalzo, MD, PhD,</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HARRISON'S Pulmonary and Critical Care Medicine</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499"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Steven E. Weinberger, MD, FACP, Barbara A. Cockrill, MD, Jess Mandel, MD, FACP</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PRINCIPLES OF PULMONARY MEDICINE, sixth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5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F1111"/>
                      <w:sz w:val="24"/>
                      <w:szCs w:val="24"/>
                      <w:highlight w:val="white"/>
                    </w:rPr>
                    <w:t> </w:t>
                  </w:r>
                  <w:hyperlink r:id="rId14">
                    <w:r>
                      <w:rPr>
                        <w:rFonts w:eastAsia="Times New Roman" w:cs="Times New Roman" w:ascii="Times New Roman" w:hAnsi="Times New Roman"/>
                        <w:color w:val="000000"/>
                        <w:sz w:val="24"/>
                        <w:szCs w:val="24"/>
                        <w:highlight w:val="white"/>
                        <w:u w:val="none"/>
                      </w:rPr>
                      <w:t xml:space="preserve">Stephen Chapman </w:t>
                    </w:r>
                  </w:hyperlink>
                  <w:r>
                    <w:rPr>
                      <w:rFonts w:eastAsia="Times New Roman" w:cs="Times New Roman" w:ascii="Times New Roman" w:hAnsi="Times New Roman"/>
                      <w:sz w:val="24"/>
                      <w:szCs w:val="24"/>
                      <w:highlight w:val="white"/>
                    </w:rPr>
                    <w:t xml:space="preserve">, </w:t>
                  </w:r>
                  <w:hyperlink r:id="rId15">
                    <w:r>
                      <w:rPr>
                        <w:rFonts w:eastAsia="Times New Roman" w:cs="Times New Roman" w:ascii="Times New Roman" w:hAnsi="Times New Roman"/>
                        <w:color w:val="000000"/>
                        <w:sz w:val="24"/>
                        <w:szCs w:val="24"/>
                        <w:highlight w:val="white"/>
                        <w:u w:val="none"/>
                      </w:rPr>
                      <w:t xml:space="preserve">Grace Robinson </w:t>
                    </w:r>
                  </w:hyperlink>
                  <w:r>
                    <w:rPr>
                      <w:rFonts w:eastAsia="Times New Roman" w:cs="Times New Roman" w:ascii="Times New Roman" w:hAnsi="Times New Roman"/>
                      <w:sz w:val="24"/>
                      <w:szCs w:val="24"/>
                      <w:highlight w:val="white"/>
                    </w:rPr>
                    <w:t xml:space="preserve">, </w:t>
                  </w:r>
                  <w:hyperlink r:id="rId16">
                    <w:r>
                      <w:rPr>
                        <w:rFonts w:eastAsia="Times New Roman" w:cs="Times New Roman" w:ascii="Times New Roman" w:hAnsi="Times New Roman"/>
                        <w:color w:val="000000"/>
                        <w:sz w:val="24"/>
                        <w:szCs w:val="24"/>
                        <w:highlight w:val="white"/>
                        <w:u w:val="none"/>
                      </w:rPr>
                      <w:t xml:space="preserve">John Stradling </w:t>
                    </w:r>
                  </w:hyperlink>
                  <w:r>
                    <w:rPr>
                      <w:rFonts w:eastAsia="Times New Roman" w:cs="Times New Roman" w:ascii="Times New Roman" w:hAnsi="Times New Roman"/>
                      <w:sz w:val="24"/>
                      <w:szCs w:val="24"/>
                      <w:highlight w:val="white"/>
                    </w:rPr>
                    <w:t xml:space="preserve">, </w:t>
                  </w:r>
                  <w:hyperlink r:id="rId17">
                    <w:r>
                      <w:rPr>
                        <w:rFonts w:eastAsia="Times New Roman" w:cs="Times New Roman" w:ascii="Times New Roman" w:hAnsi="Times New Roman"/>
                        <w:color w:val="000000"/>
                        <w:sz w:val="24"/>
                        <w:szCs w:val="24"/>
                        <w:highlight w:val="white"/>
                        <w:u w:val="none"/>
                      </w:rPr>
                      <w:t>Sophie West</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Oxford Handbook of Respiratory Medicine, Third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471"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Joseph Loscalzo, MD, PhD of Harvard Medical School;Chairman</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HARRISON'S Cardiovascular Medicine</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58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Pierre Theroux, MD Professor of Medicine of Canada</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Acute Coronary Syndromes, second edition, A Companion to Braunwald's Heart Disease</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56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highlight w:val="white"/>
                    </w:rPr>
                    <w:t>George L. Bakris, Matthew Sorrentino</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Hypertension: A companion to Brounwald's heart disease, second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2013</w:t>
                  </w:r>
                </w:p>
              </w:tc>
            </w:tr>
            <w:tr>
              <w:trPr>
                <w:trHeight w:val="372"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John JV McMurray MD FRCP FESC FACC, Marc A Pfeffer MD PhD</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Heart Failure Updates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2003</w:t>
                  </w:r>
                </w:p>
              </w:tc>
            </w:tr>
            <w:tr>
              <w:trPr>
                <w:trHeight w:val="491"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18">
                    <w:r>
                      <w:rPr>
                        <w:rFonts w:eastAsia="Times New Roman" w:cs="Times New Roman" w:ascii="Times New Roman" w:hAnsi="Times New Roman"/>
                        <w:color w:val="000000"/>
                        <w:sz w:val="24"/>
                        <w:szCs w:val="24"/>
                        <w:u w:val="none"/>
                      </w:rPr>
                      <w:t xml:space="preserve">Punit Ramrakha (ed.) </w:t>
                    </w:r>
                  </w:hyperlink>
                  <w:r>
                    <w:rPr>
                      <w:rFonts w:eastAsia="Times New Roman" w:cs="Times New Roman" w:ascii="Times New Roman" w:hAnsi="Times New Roman"/>
                      <w:sz w:val="24"/>
                      <w:szCs w:val="24"/>
                    </w:rPr>
                    <w:t>,</w:t>
                  </w:r>
                </w:p>
                <w:p>
                  <w:pPr>
                    <w:pStyle w:val="Normal1"/>
                    <w:widowControl w:val="false"/>
                    <w:spacing w:lineRule="auto" w:line="240" w:before="0" w:after="0"/>
                    <w:rPr>
                      <w:rFonts w:ascii="Times New Roman" w:hAnsi="Times New Roman" w:eastAsia="Times New Roman" w:cs="Times New Roman"/>
                      <w:color w:val="2A2A2A"/>
                      <w:sz w:val="24"/>
                      <w:szCs w:val="24"/>
                    </w:rPr>
                  </w:pPr>
                  <w:r>
                    <w:rPr>
                      <w:rFonts w:eastAsia="Times New Roman" w:cs="Times New Roman" w:ascii="Times New Roman" w:hAnsi="Times New Roman"/>
                      <w:sz w:val="24"/>
                      <w:szCs w:val="24"/>
                      <w:highlight w:val="white"/>
                    </w:rPr>
                    <w:t> </w:t>
                  </w:r>
                  <w:hyperlink r:id="rId19">
                    <w:r>
                      <w:rPr>
                        <w:rFonts w:eastAsia="Times New Roman" w:cs="Times New Roman" w:ascii="Times New Roman" w:hAnsi="Times New Roman"/>
                        <w:color w:val="000000"/>
                        <w:sz w:val="24"/>
                        <w:szCs w:val="24"/>
                        <w:u w:val="none"/>
                      </w:rPr>
                      <w:t>Jonathan Hill (ed.)</w:t>
                    </w:r>
                  </w:hyperlink>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Oxford Handbook of Cardiology</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683"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Ziad F. Issa, MD, John M. Miller, MD, Douglas P. Zipes, MD</w:t>
                  </w:r>
                </w:p>
                <w:p>
                  <w:pPr>
                    <w:pStyle w:val="Normal1"/>
                    <w:widowControl w:val="false"/>
                    <w:shd w:val="clear"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Clinical Arrhythmology and Electrophysiology. A Companion to Braunwald's Heart Disease, second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314"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Paul N Durrington BSc MD FRCP FRCPath FMedSci</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Preventive Cardiology </w:t>
                  </w:r>
                  <w:r>
                    <w:rPr>
                      <w:rFonts w:eastAsia="Times New Roman" w:cs="Times New Roman" w:ascii="Times New Roman" w:hAnsi="Times New Roman"/>
                      <w:color w:val="000000"/>
                      <w:sz w:val="24"/>
                      <w:szCs w:val="24"/>
                      <w:vertAlign w:val="superscript"/>
                    </w:rPr>
                    <w:t xml:space="preserve">2nd </w:t>
                  </w:r>
                  <w:r>
                    <w:rPr>
                      <w:rFonts w:eastAsia="Times New Roman" w:cs="Times New Roman" w:ascii="Times New Roman" w:hAnsi="Times New Roman"/>
                      <w:color w:val="000000"/>
                      <w:sz w:val="24"/>
                      <w:szCs w:val="24"/>
                    </w:rPr>
                    <w:t>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2001</w:t>
                  </w:r>
                </w:p>
              </w:tc>
            </w:tr>
            <w:tr>
              <w:trPr>
                <w:trHeight w:val="703"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Hugh D. Allen, Robert E. Shaddy, Daniel J. Penny, Timithy F. Feltes, Frank Cetta</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Moss and Adam's Heart disease in infants, children and adolescents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41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Graham Jackson</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CARDIOLOGY CURRENT PERSPECTIVES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2002</w:t>
                  </w:r>
                </w:p>
              </w:tc>
            </w:tr>
            <w:tr>
              <w:trPr>
                <w:trHeight w:val="366"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Romeo Vecht FRCP, FACC, FESC</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ECG Diagnosis Made Easy</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568"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Dan L. Longo, MD, Anthony S. Fauci, MD, Carol A. Langford, MD, MHS</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Gastroenterology and Hepatology</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46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Mauss, Berg, Rockstroh, Sarrazin, Wedemeyer</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Hepatology- A clinical textbook</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2016</w:t>
                  </w:r>
                </w:p>
              </w:tc>
            </w:tr>
            <w:tr>
              <w:trPr>
                <w:trHeight w:val="58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S.Dooley James, Anna SFLok, Andrew K.Burroughs, E.Jenny Heathcote</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Sherlock's diseases of the liver and biliary system, </w:t>
                  </w:r>
                  <w:r>
                    <w:rPr>
                      <w:rFonts w:eastAsia="Times New Roman" w:cs="Times New Roman" w:ascii="Times New Roman" w:hAnsi="Times New Roman"/>
                      <w:color w:val="000000"/>
                      <w:sz w:val="24"/>
                      <w:szCs w:val="24"/>
                      <w:vertAlign w:val="superscript"/>
                    </w:rPr>
                    <w:t xml:space="preserve">12th </w:t>
                  </w:r>
                  <w:r>
                    <w:rPr>
                      <w:rFonts w:eastAsia="Times New Roman" w:cs="Times New Roman" w:ascii="Times New Roman" w:hAnsi="Times New Roman"/>
                      <w:color w:val="000000"/>
                      <w:sz w:val="24"/>
                      <w:szCs w:val="24"/>
                    </w:rPr>
                    <w:t>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2002</w:t>
                  </w:r>
                </w:p>
              </w:tc>
            </w:tr>
            <w:tr>
              <w:trPr>
                <w:trHeight w:val="53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Dan L Longo</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Harrison's Hematology and Oncology, 17th </w:t>
                  </w:r>
                  <w:r>
                    <w:rPr>
                      <w:rFonts w:eastAsia="Times New Roman" w:cs="Times New Roman" w:ascii="Times New Roman" w:hAnsi="Times New Roman"/>
                      <w:color w:val="000000"/>
                      <w:sz w:val="24"/>
                      <w:szCs w:val="24"/>
                      <w:vertAlign w:val="superscript"/>
                    </w:rPr>
                    <w:t xml:space="preserve">edition </w:t>
                  </w:r>
                  <w:r>
                    <w:rPr>
                      <w:rFonts w:eastAsia="Times New Roman" w:cs="Times New Roman" w:ascii="Times New Roman" w:hAnsi="Times New Roman"/>
                      <w:color w:val="000000"/>
                      <w:sz w:val="24"/>
                      <w:szCs w:val="24"/>
                    </w:rPr>
                    <w:t>, edited</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61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 Victor Hoffbrand, Paul AH Moss</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Hoffbrand's Essential Haematology, </w:t>
                  </w:r>
                  <w:r>
                    <w:rPr>
                      <w:rFonts w:eastAsia="Times New Roman" w:cs="Times New Roman" w:ascii="Times New Roman" w:hAnsi="Times New Roman"/>
                      <w:color w:val="000000"/>
                      <w:sz w:val="24"/>
                      <w:szCs w:val="24"/>
                      <w:vertAlign w:val="superscript"/>
                    </w:rPr>
                    <w:t xml:space="preserve">7th </w:t>
                  </w:r>
                  <w:r>
                    <w:rPr>
                      <w:rFonts w:eastAsia="Times New Roman" w:cs="Times New Roman" w:ascii="Times New Roman" w:hAnsi="Times New Roman"/>
                      <w:color w:val="000000"/>
                      <w:sz w:val="24"/>
                      <w:szCs w:val="24"/>
                    </w:rPr>
                    <w:t>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2016</w:t>
                  </w:r>
                </w:p>
              </w:tc>
            </w:tr>
            <w:tr>
              <w:trPr>
                <w:trHeight w:val="56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hyperlink r:id="rId20">
                    <w:r>
                      <w:rPr>
                        <w:rFonts w:eastAsia="Times New Roman" w:cs="Times New Roman" w:ascii="Times New Roman" w:hAnsi="Times New Roman"/>
                        <w:color w:val="000000"/>
                        <w:sz w:val="24"/>
                        <w:szCs w:val="24"/>
                        <w:highlight w:val="white"/>
                      </w:rPr>
                      <w:t>Drew Provan</w:t>
                    </w:r>
                  </w:hyperlink>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Oxford Handbook of Clinical Haematology, </w:t>
                  </w:r>
                  <w:r>
                    <w:rPr>
                      <w:rFonts w:eastAsia="Times New Roman" w:cs="Times New Roman" w:ascii="Times New Roman" w:hAnsi="Times New Roman"/>
                      <w:color w:val="000000"/>
                      <w:sz w:val="24"/>
                      <w:szCs w:val="24"/>
                      <w:vertAlign w:val="superscript"/>
                    </w:rPr>
                    <w:t xml:space="preserve">4th </w:t>
                  </w:r>
                  <w:r>
                    <w:rPr>
                      <w:rFonts w:eastAsia="Times New Roman" w:cs="Times New Roman" w:ascii="Times New Roman" w:hAnsi="Times New Roman"/>
                      <w:color w:val="000000"/>
                      <w:sz w:val="24"/>
                      <w:szCs w:val="24"/>
                    </w:rPr>
                    <w:t>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384"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J. Larry Jameson, MD, PhD</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HARRISON'S Endocrinology, </w:t>
                  </w:r>
                  <w:r>
                    <w:rPr>
                      <w:rFonts w:eastAsia="Times New Roman" w:cs="Times New Roman" w:ascii="Times New Roman" w:hAnsi="Times New Roman"/>
                      <w:color w:val="000000"/>
                      <w:sz w:val="24"/>
                      <w:szCs w:val="24"/>
                      <w:vertAlign w:val="superscript"/>
                    </w:rPr>
                    <w:t xml:space="preserve">2nd </w:t>
                  </w:r>
                  <w:r>
                    <w:rPr>
                      <w:rFonts w:eastAsia="Times New Roman" w:cs="Times New Roman" w:ascii="Times New Roman" w:hAnsi="Times New Roman"/>
                      <w:color w:val="000000"/>
                      <w:sz w:val="24"/>
                      <w:szCs w:val="24"/>
                    </w:rPr>
                    <w:t>edi</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54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hyperlink r:id="rId21">
                    <w:r>
                      <w:rPr>
                        <w:rFonts w:eastAsia="Times New Roman" w:cs="Times New Roman" w:ascii="Times New Roman" w:hAnsi="Times New Roman"/>
                        <w:color w:val="000000"/>
                        <w:sz w:val="24"/>
                        <w:szCs w:val="24"/>
                        <w:highlight w:val="white"/>
                        <w:u w:val="none"/>
                      </w:rPr>
                      <w:t xml:space="preserve">John Wass </w:t>
                    </w:r>
                  </w:hyperlink>
                  <w:r>
                    <w:rPr>
                      <w:rFonts w:eastAsia="Times New Roman" w:cs="Times New Roman" w:ascii="Times New Roman" w:hAnsi="Times New Roman"/>
                      <w:sz w:val="24"/>
                      <w:szCs w:val="24"/>
                      <w:highlight w:val="white"/>
                    </w:rPr>
                    <w:t xml:space="preserve">, </w:t>
                  </w:r>
                  <w:hyperlink r:id="rId22">
                    <w:r>
                      <w:rPr>
                        <w:rFonts w:eastAsia="Times New Roman" w:cs="Times New Roman" w:ascii="Times New Roman" w:hAnsi="Times New Roman"/>
                        <w:color w:val="000000"/>
                        <w:sz w:val="24"/>
                        <w:szCs w:val="24"/>
                        <w:highlight w:val="white"/>
                        <w:u w:val="none"/>
                      </w:rPr>
                      <w:t xml:space="preserve">Wiebke Arlt </w:t>
                    </w:r>
                  </w:hyperlink>
                  <w:r>
                    <w:rPr>
                      <w:rFonts w:eastAsia="Times New Roman" w:cs="Times New Roman" w:ascii="Times New Roman" w:hAnsi="Times New Roman"/>
                      <w:sz w:val="24"/>
                      <w:szCs w:val="24"/>
                      <w:highlight w:val="white"/>
                    </w:rPr>
                    <w:t xml:space="preserve">, </w:t>
                  </w:r>
                  <w:hyperlink r:id="rId23">
                    <w:r>
                      <w:rPr>
                        <w:rFonts w:eastAsia="Times New Roman" w:cs="Times New Roman" w:ascii="Times New Roman" w:hAnsi="Times New Roman"/>
                        <w:color w:val="000000"/>
                        <w:sz w:val="24"/>
                        <w:szCs w:val="24"/>
                        <w:highlight w:val="white"/>
                        <w:u w:val="none"/>
                      </w:rPr>
                      <w:t>Robert Semple</w:t>
                    </w:r>
                  </w:hyperlink>
                  <w:r>
                    <w:rPr>
                      <w:rFonts w:eastAsia="Times New Roman" w:cs="Times New Roman" w:ascii="Times New Roman" w:hAnsi="Times New Roman"/>
                      <w:sz w:val="24"/>
                      <w:szCs w:val="24"/>
                      <w:highlight w:val="white"/>
                    </w:rPr>
                    <w:t> </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Oxford Handbook of Endocrinology and Diabetes, Third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25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J. Larry Jameson</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nephrology and acid-base disorders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19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Edgar V. Lerma, Allen R. Nissenson</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Nephrology secrets.—3rd ed</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42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hyperlink r:id="rId24">
                    <w:r>
                      <w:rPr>
                        <w:rFonts w:eastAsia="Times New Roman" w:cs="Times New Roman" w:ascii="Times New Roman" w:hAnsi="Times New Roman"/>
                        <w:color w:val="000000"/>
                        <w:sz w:val="24"/>
                        <w:szCs w:val="24"/>
                        <w:highlight w:val="white"/>
                        <w:u w:val="none"/>
                      </w:rPr>
                      <w:t xml:space="preserve">Anthony Fauci </w:t>
                    </w:r>
                  </w:hyperlink>
                  <w:r>
                    <w:rPr>
                      <w:rFonts w:eastAsia="Times New Roman" w:cs="Times New Roman" w:ascii="Times New Roman" w:hAnsi="Times New Roman"/>
                      <w:sz w:val="24"/>
                      <w:szCs w:val="24"/>
                      <w:highlight w:val="white"/>
                    </w:rPr>
                    <w:t xml:space="preserve">, </w:t>
                  </w:r>
                  <w:hyperlink r:id="rId25">
                    <w:r>
                      <w:rPr>
                        <w:rFonts w:eastAsia="Times New Roman" w:cs="Times New Roman" w:ascii="Times New Roman" w:hAnsi="Times New Roman"/>
                        <w:color w:val="000000"/>
                        <w:sz w:val="24"/>
                        <w:szCs w:val="24"/>
                        <w:highlight w:val="white"/>
                        <w:u w:val="none"/>
                      </w:rPr>
                      <w:t>Carol Langford</w:t>
                    </w:r>
                  </w:hyperlink>
                  <w:r>
                    <w:rPr>
                      <w:rFonts w:eastAsia="Times New Roman" w:cs="Times New Roman" w:ascii="Times New Roman" w:hAnsi="Times New Roman"/>
                      <w:sz w:val="24"/>
                      <w:szCs w:val="24"/>
                      <w:highlight w:val="white"/>
                    </w:rPr>
                    <w:t> </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Rheumatology, second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543"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6">
                    <w:r>
                      <w:rPr>
                        <w:rFonts w:eastAsia="Times New Roman" w:cs="Times New Roman" w:ascii="Times New Roman" w:hAnsi="Times New Roman"/>
                        <w:color w:val="000000"/>
                        <w:sz w:val="24"/>
                        <w:szCs w:val="24"/>
                        <w:u w:val="none"/>
                      </w:rPr>
                      <w:t xml:space="preserve">Gavin Clunie (ed.) </w:t>
                    </w:r>
                  </w:hyperlink>
                  <w:r>
                    <w:rPr>
                      <w:rFonts w:eastAsia="Times New Roman" w:cs="Times New Roman" w:ascii="Times New Roman" w:hAnsi="Times New Roman"/>
                      <w:sz w:val="24"/>
                      <w:szCs w:val="24"/>
                    </w:rPr>
                    <w:t>,</w:t>
                  </w:r>
                </w:p>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7">
                    <w:r>
                      <w:rPr>
                        <w:rFonts w:eastAsia="Times New Roman" w:cs="Times New Roman" w:ascii="Times New Roman" w:hAnsi="Times New Roman"/>
                        <w:color w:val="000000"/>
                        <w:sz w:val="24"/>
                        <w:szCs w:val="24"/>
                        <w:u w:val="none"/>
                      </w:rPr>
                      <w:t xml:space="preserve">Nick Wilkinson (ed.) </w:t>
                    </w:r>
                  </w:hyperlink>
                  <w:r>
                    <w:rPr>
                      <w:rFonts w:eastAsia="Times New Roman" w:cs="Times New Roman" w:ascii="Times New Roman" w:hAnsi="Times New Roman"/>
                      <w:sz w:val="24"/>
                      <w:szCs w:val="24"/>
                    </w:rPr>
                    <w:t>,</w:t>
                  </w:r>
                </w:p>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8">
                    <w:r>
                      <w:rPr>
                        <w:rFonts w:eastAsia="Times New Roman" w:cs="Times New Roman" w:ascii="Times New Roman" w:hAnsi="Times New Roman"/>
                        <w:color w:val="000000"/>
                        <w:sz w:val="24"/>
                        <w:szCs w:val="24"/>
                        <w:u w:val="none"/>
                      </w:rPr>
                      <w:t xml:space="preserve">Elena Nikiphorou (ed.) </w:t>
                    </w:r>
                  </w:hyperlink>
                  <w:r>
                    <w:rPr>
                      <w:rFonts w:eastAsia="Times New Roman" w:cs="Times New Roman" w:ascii="Times New Roman" w:hAnsi="Times New Roman"/>
                      <w:sz w:val="24"/>
                      <w:szCs w:val="24"/>
                    </w:rPr>
                    <w:t>,</w:t>
                  </w:r>
                </w:p>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9">
                    <w:r>
                      <w:rPr>
                        <w:rFonts w:eastAsia="Times New Roman" w:cs="Times New Roman" w:ascii="Times New Roman" w:hAnsi="Times New Roman"/>
                        <w:color w:val="000000"/>
                        <w:sz w:val="24"/>
                        <w:szCs w:val="24"/>
                        <w:u w:val="none"/>
                      </w:rPr>
                      <w:t>Deepak Jadon (ed.)</w:t>
                    </w:r>
                  </w:hyperlink>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Oxford Handbook of Rheumatology, forth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2018</w:t>
                  </w:r>
                </w:p>
              </w:tc>
            </w:tr>
          </w:tbl>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72" w:hRule="atLeast"/>
        </w:trPr>
        <w:tc>
          <w:tcPr>
            <w:tcW w:w="1416" w:type="dxa"/>
            <w:gridSpan w:val="4"/>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Calibri" w:hAnsi="Calibri" w:eastAsia="Calibri" w:cs="Calibri"/>
                <w:sz w:val="22"/>
                <w:szCs w:val="22"/>
              </w:rPr>
            </w:pPr>
            <w:r>
              <w:rPr>
                <w:rFonts w:eastAsia="Calibri" w:cs="Calibri"/>
                <w:sz w:val="22"/>
                <w:szCs w:val="22"/>
              </w:rPr>
            </w:r>
          </w:p>
        </w:tc>
        <w:tc>
          <w:tcPr>
            <w:tcW w:w="8795"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Internet resources:</w:t>
            </w:r>
          </w:p>
          <w:p>
            <w:pPr>
              <w:pStyle w:val="Normal1"/>
              <w:widowControl w:val="false"/>
              <w:numPr>
                <w:ilvl w:val="0"/>
                <w:numId w:val="4"/>
              </w:numPr>
              <w:tabs>
                <w:tab w:val="clear" w:pos="720"/>
                <w:tab w:val="left" w:pos="142" w:leader="none"/>
                <w:tab w:val="left" w:pos="426"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Medscape.com</w:t>
            </w:r>
          </w:p>
          <w:p>
            <w:pPr>
              <w:pStyle w:val="Normal1"/>
              <w:widowControl w:val="false"/>
              <w:numPr>
                <w:ilvl w:val="0"/>
                <w:numId w:val="4"/>
              </w:numPr>
              <w:tabs>
                <w:tab w:val="clear" w:pos="720"/>
                <w:tab w:val="left" w:pos="142" w:leader="none"/>
                <w:tab w:val="left" w:pos="426" w:leader="none"/>
              </w:tabs>
              <w:spacing w:lineRule="auto" w:line="240" w:before="0" w:after="0"/>
              <w:ind w:left="720" w:right="111" w:hanging="360"/>
              <w:jc w:val="both"/>
              <w:rPr>
                <w:rFonts w:ascii="Times New Roman" w:hAnsi="Times New Roman" w:eastAsia="Times New Roman" w:cs="Times New Roman"/>
                <w:color w:val="000000"/>
                <w:sz w:val="24"/>
                <w:szCs w:val="24"/>
              </w:rPr>
            </w:pPr>
            <w:hyperlink r:id="rId30">
              <w:r>
                <w:rPr>
                  <w:rFonts w:eastAsia="Times New Roman" w:cs="Times New Roman" w:ascii="Times New Roman" w:hAnsi="Times New Roman"/>
                  <w:color w:val="000000"/>
                  <w:sz w:val="24"/>
                  <w:szCs w:val="24"/>
                  <w:u w:val="single"/>
                </w:rPr>
                <w:t>Uptodate.com</w:t>
              </w:r>
            </w:hyperlink>
            <w:r>
              <w:rPr>
                <w:rFonts w:eastAsia="Times New Roman" w:cs="Times New Roman" w:ascii="Times New Roman" w:hAnsi="Times New Roman"/>
                <w:color w:val="000000"/>
                <w:sz w:val="24"/>
                <w:szCs w:val="24"/>
                <w:u w:val="single"/>
              </w:rPr>
              <w:t xml:space="preserve"> </w:t>
            </w:r>
          </w:p>
          <w:p>
            <w:pPr>
              <w:pStyle w:val="Normal1"/>
              <w:widowControl w:val="false"/>
              <w:numPr>
                <w:ilvl w:val="0"/>
                <w:numId w:val="4"/>
              </w:numPr>
              <w:tabs>
                <w:tab w:val="clear" w:pos="720"/>
                <w:tab w:val="left" w:pos="142" w:leader="none"/>
                <w:tab w:val="left" w:pos="426"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Oxfordmedicine.com</w:t>
            </w:r>
          </w:p>
          <w:p>
            <w:pPr>
              <w:pStyle w:val="Normal1"/>
              <w:widowControl w:val="false"/>
              <w:numPr>
                <w:ilvl w:val="0"/>
                <w:numId w:val="4"/>
              </w:numPr>
              <w:tabs>
                <w:tab w:val="clear" w:pos="720"/>
                <w:tab w:val="left" w:pos="0" w:leader="none"/>
                <w:tab w:val="left" w:pos="142" w:leader="none"/>
                <w:tab w:val="left" w:pos="426" w:leader="none"/>
                <w:tab w:val="left" w:pos="567"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Geekymedics.com</w:t>
            </w:r>
          </w:p>
          <w:p>
            <w:pPr>
              <w:pStyle w:val="Normal1"/>
              <w:widowControl w:val="false"/>
              <w:numPr>
                <w:ilvl w:val="0"/>
                <w:numId w:val="4"/>
              </w:numPr>
              <w:tabs>
                <w:tab w:val="clear" w:pos="720"/>
                <w:tab w:val="left" w:pos="0" w:leader="none"/>
                <w:tab w:val="left" w:pos="142" w:leader="none"/>
                <w:tab w:val="left" w:pos="426" w:leader="none"/>
                <w:tab w:val="left" w:pos="567"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hyperlink r:id="rId31">
              <w:r>
                <w:rPr>
                  <w:rFonts w:eastAsia="Times New Roman" w:cs="Times New Roman" w:ascii="Times New Roman" w:hAnsi="Times New Roman"/>
                  <w:color w:val="000000"/>
                  <w:sz w:val="24"/>
                  <w:szCs w:val="24"/>
                </w:rPr>
                <w:t>ncbi.nlm.nih.gov/PubMed/</w:t>
              </w:r>
            </w:hyperlink>
            <w:r>
              <w:rPr>
                <w:rFonts w:eastAsia="Times New Roman" w:cs="Times New Roman" w:ascii="Times New Roman" w:hAnsi="Times New Roman"/>
                <w:color w:val="000000"/>
                <w:sz w:val="24"/>
                <w:szCs w:val="24"/>
              </w:rPr>
              <w:t xml:space="preserve"> </w:t>
            </w:r>
          </w:p>
          <w:p>
            <w:pPr>
              <w:pStyle w:val="Normal1"/>
              <w:widowControl w:val="false"/>
              <w:numPr>
                <w:ilvl w:val="0"/>
                <w:numId w:val="4"/>
              </w:numPr>
              <w:tabs>
                <w:tab w:val="clear" w:pos="720"/>
                <w:tab w:val="left" w:pos="0" w:leader="none"/>
                <w:tab w:val="left" w:pos="142" w:leader="none"/>
                <w:tab w:val="left" w:pos="426" w:leader="none"/>
                <w:tab w:val="left" w:pos="993" w:leader="none"/>
              </w:tabs>
              <w:spacing w:lineRule="auto" w:line="240" w:before="0" w:after="0"/>
              <w:ind w:left="720" w:right="111" w:hanging="360"/>
              <w:jc w:val="left"/>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 </w:t>
            </w:r>
            <w:hyperlink r:id="rId32">
              <w:r>
                <w:rPr>
                  <w:rFonts w:eastAsia="Times New Roman" w:cs="Times New Roman" w:ascii="Times New Roman" w:hAnsi="Times New Roman"/>
                  <w:color w:val="000000"/>
                  <w:sz w:val="24"/>
                  <w:szCs w:val="24"/>
                </w:rPr>
                <w:t>medline.com</w:t>
              </w:r>
            </w:hyperlink>
            <w:r>
              <w:rPr>
                <w:rFonts w:eastAsia="Times New Roman" w:cs="Times New Roman" w:ascii="Times New Roman" w:hAnsi="Times New Roman"/>
                <w:color w:val="000000"/>
                <w:sz w:val="24"/>
                <w:szCs w:val="24"/>
              </w:rPr>
              <w:t xml:space="preserve"> </w:t>
            </w:r>
          </w:p>
          <w:p>
            <w:pPr>
              <w:pStyle w:val="Normal1"/>
              <w:widowControl w:val="false"/>
              <w:numPr>
                <w:ilvl w:val="0"/>
                <w:numId w:val="4"/>
              </w:numPr>
              <w:tabs>
                <w:tab w:val="clear" w:pos="720"/>
                <w:tab w:val="left" w:pos="0" w:leader="none"/>
                <w:tab w:val="left" w:pos="142" w:leader="none"/>
                <w:tab w:val="left" w:pos="426" w:leader="none"/>
                <w:tab w:val="left" w:pos="993" w:leader="none"/>
              </w:tabs>
              <w:spacing w:lineRule="auto" w:line="240" w:before="0" w:after="0"/>
              <w:ind w:left="720" w:right="111" w:hanging="360"/>
              <w:jc w:val="left"/>
              <w:rPr>
                <w:rFonts w:ascii="Times New Roman" w:hAnsi="Times New Roman" w:eastAsia="Times New Roman" w:cs="Times New Roman"/>
                <w:b/>
                <w:b/>
                <w:color w:val="FF6600"/>
                <w:sz w:val="24"/>
                <w:szCs w:val="24"/>
              </w:rPr>
            </w:pPr>
            <w:hyperlink r:id="rId33">
              <w:r>
                <w:rPr>
                  <w:rFonts w:eastAsia="Times New Roman" w:cs="Times New Roman" w:ascii="Times New Roman" w:hAnsi="Times New Roman"/>
                  <w:color w:val="0033CC"/>
                  <w:sz w:val="24"/>
                  <w:szCs w:val="24"/>
                  <w:u w:val="single"/>
                </w:rPr>
                <w:t>https://medelement.com/</w:t>
              </w:r>
            </w:hyperlink>
            <w:r>
              <w:rPr>
                <w:rFonts w:eastAsia="Times New Roman" w:cs="Times New Roman" w:ascii="Times New Roman" w:hAnsi="Times New Roman"/>
                <w:color w:val="000000"/>
                <w:sz w:val="24"/>
                <w:szCs w:val="24"/>
              </w:rPr>
              <w:t xml:space="preserve"> </w:t>
            </w:r>
          </w:p>
          <w:p>
            <w:pPr>
              <w:pStyle w:val="Normal1"/>
              <w:widowControl w:val="false"/>
              <w:spacing w:lineRule="auto" w:line="240" w:before="0" w:after="0"/>
              <w:jc w:val="both"/>
              <w:rPr>
                <w:rFonts w:ascii="Times New Roman" w:hAnsi="Times New Roman" w:eastAsia="Times New Roman" w:cs="Times New Roman"/>
                <w:sz w:val="24"/>
                <w:szCs w:val="24"/>
              </w:rPr>
            </w:pPr>
            <w:hyperlink r:id="rId34">
              <w:r>
                <w:rPr>
                  <w:rFonts w:eastAsia="Times New Roman" w:cs="Times New Roman" w:ascii="Times New Roman" w:hAnsi="Times New Roman"/>
                  <w:color w:val="0033CC"/>
                  <w:sz w:val="24"/>
                  <w:szCs w:val="24"/>
                  <w:u w:val="single"/>
                </w:rPr>
                <w:t>https://www.cochranelibrary.com</w:t>
              </w:r>
            </w:hyperlink>
            <w:r>
              <w:rPr>
                <w:rFonts w:eastAsia="Times New Roman" w:cs="Times New Roman" w:ascii="Times New Roman" w:hAnsi="Times New Roman"/>
                <w:color w:val="FF6600"/>
                <w:sz w:val="24"/>
                <w:szCs w:val="24"/>
              </w:rPr>
              <w:t xml:space="preserve"> </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70" w:hRule="atLeast"/>
        </w:trPr>
        <w:tc>
          <w:tcPr>
            <w:tcW w:w="1416" w:type="dxa"/>
            <w:gridSpan w:val="4"/>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Calibri" w:hAnsi="Calibri" w:eastAsia="Calibri" w:cs="Calibri"/>
                <w:sz w:val="22"/>
                <w:szCs w:val="22"/>
              </w:rPr>
            </w:pPr>
            <w:r>
              <w:rPr>
                <w:rFonts w:eastAsia="Calibri" w:cs="Calibri"/>
                <w:sz w:val="22"/>
                <w:szCs w:val="22"/>
              </w:rPr>
            </w:r>
          </w:p>
        </w:tc>
        <w:tc>
          <w:tcPr>
            <w:tcW w:w="8795"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1416"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Electronic resources (including but not limited to: library electronic catalogue, scientific literature databases, databases, animation, modeling, professional blogs, websites, other electronic reference materials (e.g. video, audio, digests)</w:t>
            </w:r>
          </w:p>
        </w:tc>
        <w:tc>
          <w:tcPr>
            <w:tcW w:w="8795" w:type="dxa"/>
            <w:gridSpan w:val="14"/>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Internet resources : _</w:t>
            </w:r>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Medscape.com - </w:t>
            </w:r>
            <w:hyperlink r:id="rId35">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https://www.medscape.com/familymedicine</w:t>
              </w:r>
            </w:hyperlink>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Oxfordmedicine.com - </w:t>
            </w:r>
            <w:hyperlink r:id="rId36">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https://oxfordmedicine.com/</w:t>
              </w:r>
            </w:hyperlink>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hyperlink r:id="rId37">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Uptodate.com </w:t>
              </w:r>
            </w:hyperlink>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 </w:t>
            </w:r>
            <w:hyperlink r:id="rId38">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https://www.wolterskluwer.com/en/solutions/uptodate</w:t>
              </w:r>
            </w:hyperlink>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Osmosis - </w:t>
            </w:r>
            <w:hyperlink r:id="rId39">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https://www.youtube.com/c/osmosis</w:t>
              </w:r>
            </w:hyperlink>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Ninja Nerd - </w:t>
            </w:r>
            <w:hyperlink r:id="rId40">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https://www.youtube.com/c/NinjaNerdScience/videos</w:t>
              </w:r>
            </w:hyperlink>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CorMedicale - </w:t>
            </w:r>
            <w:hyperlink r:id="rId41">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 :// www . youtube . com / c / cormedicale</w:t>
              </w:r>
            </w:hyperlink>
            <w:r>
              <w:rPr>
                <w:rFonts w:eastAsia="Times New Roman" w:cs="Times New Roman" w:ascii="Times New Roman" w:hAnsi="Times New Roman"/>
                <w:b/>
                <w:i w:val="false"/>
                <w:caps w:val="false"/>
                <w:smallCaps w:val="false"/>
                <w:strike w:val="false"/>
                <w:dstrike w:val="false"/>
                <w:color w:val="0000FF"/>
                <w:position w:val="0"/>
                <w:sz w:val="24"/>
                <w:sz w:val="24"/>
                <w:szCs w:val="24"/>
                <w:u w:val="singl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medical video animations in Russian.</w:t>
            </w:r>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Lecturio Medical - </w:t>
            </w:r>
            <w:hyperlink r:id="rId42">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https://www.youtube.com/channel/UCbYmF43dpGHz8gi2ugiXr0Q</w:t>
              </w:r>
            </w:hyperlink>
          </w:p>
          <w:p>
            <w:pPr>
              <w:pStyle w:val="Normal1"/>
              <w:keepNext w:val="false"/>
              <w:keepLines w:val="false"/>
              <w:widowControl w:val="false"/>
              <w:numPr>
                <w:ilvl w:val="0"/>
                <w:numId w:val="7"/>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SciDrugs - </w:t>
            </w:r>
            <w:hyperlink r:id="rId43">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https :// www . youtube . com / c / SciDrugs / videos </w:t>
              </w:r>
            </w:hyperlink>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pharmacology video lectures in Russian.</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1416"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Simulators in the simulation center</w:t>
            </w:r>
          </w:p>
        </w:tc>
        <w:tc>
          <w:tcPr>
            <w:tcW w:w="8795"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SAM ( Student auscultation manikin ) - a student mannequin for ascultation of the pathology of Orange and systems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2. Mannequin-simulator for teaching percussion skills, palpation of the abdominal organs, cardiovascular system, respiratory system</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1416"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Special software</w:t>
            </w:r>
          </w:p>
        </w:tc>
        <w:tc>
          <w:tcPr>
            <w:tcW w:w="8795"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FF0000"/>
                <w:sz w:val="24"/>
                <w:szCs w:val="24"/>
              </w:rPr>
            </w:pPr>
            <w:r>
              <w:rPr>
                <w:rFonts w:eastAsia="Times New Roman" w:cs="Times New Roman" w:ascii="Times New Roman" w:hAnsi="Times New Roman"/>
                <w:sz w:val="24"/>
                <w:szCs w:val="24"/>
              </w:rPr>
              <w:t>1. Google classroom - available in the public domain.</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Medical calculators: Medscape , Physician's Handbook , MD + Calc - available in the public domain.</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Directory of diagnostic and treatment protocols for medical workers from the RCHD, the Ministry of Health of the Republic of Kazakhstan: Dariger - available in the public domain.</w:t>
            </w:r>
          </w:p>
        </w:tc>
        <w:tc>
          <w:tcPr>
            <w:tcW w:w="14"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234" w:hRule="atLeast"/>
        </w:trPr>
        <w:tc>
          <w:tcPr>
            <w:tcW w:w="10225" w:type="dxa"/>
            <w:gridSpan w:val="19"/>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c>
          <w:tcPr>
            <w:tcW w:w="1375"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12.</w:t>
            </w:r>
          </w:p>
        </w:tc>
        <w:tc>
          <w:tcPr>
            <w:tcW w:w="8850" w:type="dxa"/>
            <w:gridSpan w:val="16"/>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Requirements and Bonus System</w:t>
            </w:r>
          </w:p>
        </w:tc>
      </w:tr>
      <w:tr>
        <w:trPr/>
        <w:tc>
          <w:tcPr>
            <w:tcW w:w="10225" w:type="dxa"/>
            <w:gridSpan w:val="19"/>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Rules of academic conduct:</w:t>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 Appearance:</w:t>
            </w:r>
          </w:p>
          <w:p>
            <w:pPr>
              <w:pStyle w:val="Normal1"/>
              <w:keepNext w:val="false"/>
              <w:keepLines w:val="false"/>
              <w:widowControl w:val="false"/>
              <w:numPr>
                <w:ilvl w:val="0"/>
                <w:numId w:val="8"/>
              </w:numPr>
              <w:pBdr/>
              <w:shd w:val="clear" w:fill="auto"/>
              <w:spacing w:lineRule="auto" w:line="240" w:before="0" w:after="0"/>
              <w:ind w:left="390"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office attire (shorts, short skirts, open T-shirts are not allowed to visit the university, jeans are not allowed in the clinic)</w:t>
            </w:r>
          </w:p>
          <w:p>
            <w:pPr>
              <w:pStyle w:val="Normal1"/>
              <w:keepNext w:val="false"/>
              <w:keepLines w:val="false"/>
              <w:widowControl w:val="false"/>
              <w:numPr>
                <w:ilvl w:val="0"/>
                <w:numId w:val="8"/>
              </w:numPr>
              <w:pBdr/>
              <w:shd w:val="clear" w:fill="auto"/>
              <w:spacing w:lineRule="auto" w:line="240" w:before="0" w:after="0"/>
              <w:ind w:left="390"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clean ironed white robe</w:t>
            </w:r>
          </w:p>
          <w:p>
            <w:pPr>
              <w:pStyle w:val="Normal1"/>
              <w:keepNext w:val="false"/>
              <w:keepLines w:val="false"/>
              <w:widowControl w:val="false"/>
              <w:numPr>
                <w:ilvl w:val="0"/>
                <w:numId w:val="8"/>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medical mask</w:t>
            </w:r>
          </w:p>
          <w:p>
            <w:pPr>
              <w:pStyle w:val="Normal1"/>
              <w:keepNext w:val="false"/>
              <w:keepLines w:val="false"/>
              <w:widowControl w:val="false"/>
              <w:numPr>
                <w:ilvl w:val="0"/>
                <w:numId w:val="8"/>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 medical cap (or a neat hijab without hanging ends)</w:t>
            </w:r>
          </w:p>
          <w:p>
            <w:pPr>
              <w:pStyle w:val="Normal1"/>
              <w:keepNext w:val="false"/>
              <w:keepLines w:val="false"/>
              <w:widowControl w:val="false"/>
              <w:numPr>
                <w:ilvl w:val="0"/>
                <w:numId w:val="8"/>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medical gloves</w:t>
            </w:r>
          </w:p>
          <w:p>
            <w:pPr>
              <w:pStyle w:val="Normal1"/>
              <w:keepNext w:val="false"/>
              <w:keepLines w:val="false"/>
              <w:widowControl w:val="false"/>
              <w:numPr>
                <w:ilvl w:val="0"/>
                <w:numId w:val="8"/>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change of clean shoes (without heels)</w:t>
            </w:r>
          </w:p>
          <w:p>
            <w:pPr>
              <w:pStyle w:val="Normal1"/>
              <w:keepNext w:val="false"/>
              <w:keepLines w:val="false"/>
              <w:widowControl w:val="false"/>
              <w:numPr>
                <w:ilvl w:val="0"/>
                <w:numId w:val="8"/>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neat hairstyle, long hair should be gathered in a ponytail, or a bun, for both girls and guys. Neatly short cut nails. Bright, dark manicure is prohibited. It is permissible to cover the nails with transparent varnish.</w:t>
            </w:r>
          </w:p>
          <w:p>
            <w:pPr>
              <w:pStyle w:val="Normal1"/>
              <w:keepNext w:val="false"/>
              <w:keepLines w:val="false"/>
              <w:widowControl w:val="false"/>
              <w:numPr>
                <w:ilvl w:val="0"/>
                <w:numId w:val="8"/>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name badge (in full)</w:t>
            </w:r>
          </w:p>
          <w:p>
            <w:pPr>
              <w:pStyle w:val="Normal1"/>
              <w:keepNext w:val="false"/>
              <w:keepLines w:val="false"/>
              <w:widowControl w:val="false"/>
              <w:numPr>
                <w:ilvl w:val="0"/>
                <w:numId w:val="8"/>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lack of a pronounced perfume (patients may have allergic reactions)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ind w:right="14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 Mandatory presence of a phonendoscope, tonometer, centimeter tape, (you can also have a pulse oximeter)</w:t>
            </w:r>
          </w:p>
          <w:p>
            <w:pPr>
              <w:pStyle w:val="Normal1"/>
              <w:widowControl w:val="false"/>
              <w:spacing w:lineRule="auto" w:line="240" w:before="0" w:after="0"/>
              <w:jc w:val="both"/>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3) * Properly executed sanitary (medical) book (before the start of classes and must be updated on time)</w:t>
            </w:r>
          </w:p>
          <w:p>
            <w:pPr>
              <w:pStyle w:val="Normal1"/>
              <w:widowControl w:val="false"/>
              <w:spacing w:lineRule="auto" w:line="240" w:before="0" w:after="0"/>
              <w:jc w:val="both"/>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4) * Availability of a vaccination passport or other document about the complete</w:t>
            </w:r>
          </w:p>
          <w:p>
            <w:pPr>
              <w:pStyle w:val="Normal1"/>
              <w:widowControl w:val="false"/>
              <w:spacing w:lineRule="auto" w:line="240" w:before="0" w:after="0"/>
              <w:jc w:val="both"/>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completed course of vaccination against COVID-19 and influenza</w:t>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5) Mandatory observance of the rules of personal hygiene and safety</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6 ) Systematic preparation for the educational process.</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7 ) Accurate and timely maintenance of reporting documentation.</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8 ) Active participation in medical diagnostic and public events of the departments.</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A student without a medical book and vaccination will not be allowed to see patients.</w:t>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sz w:val="24"/>
                <w:szCs w:val="24"/>
              </w:rPr>
              <w:t xml:space="preserve">A student who does not meet the requirements for appearance and / or who emits a strong / pungent odor, since such a smell can provoke an undesirable reaction in the patient (obstruction, etc.) </w:t>
            </w:r>
            <w:r>
              <w:rPr>
                <w:rFonts w:eastAsia="Times New Roman" w:cs="Times New Roman" w:ascii="Times New Roman" w:hAnsi="Times New Roman"/>
                <w:b/>
                <w:color w:val="FF0000"/>
                <w:sz w:val="24"/>
                <w:szCs w:val="24"/>
              </w:rPr>
              <w:t>- is not allowed to patients and classes!</w:t>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 teacher has the right to decide on the admission to classes of students who do not comply with the requirements of professional behavior, including the requirements of the clinical base!</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Bonus system:</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1. Participation in research work, conferences, olympiads, presentations, the student is rewarded by means of a bonus system in the form of encouragement - adding points to the student in one of the forms of summative assessment.</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1375"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13.</w:t>
            </w:r>
          </w:p>
        </w:tc>
        <w:tc>
          <w:tcPr>
            <w:tcW w:w="8850" w:type="dxa"/>
            <w:gridSpan w:val="16"/>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Discipline policy </w:t>
            </w:r>
            <w:r>
              <w:rPr>
                <w:rFonts w:eastAsia="Times New Roman" w:cs="Times New Roman" w:ascii="Times New Roman" w:hAnsi="Times New Roman"/>
                <w:i/>
                <w:sz w:val="24"/>
                <w:szCs w:val="24"/>
              </w:rPr>
              <w:t>(parts in green, please do not change)</w:t>
            </w:r>
          </w:p>
        </w:tc>
      </w:tr>
      <w:tr>
        <w:trPr/>
        <w:tc>
          <w:tcPr>
            <w:tcW w:w="137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850" w:type="dxa"/>
            <w:gridSpan w:val="1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highlight w:val="green"/>
              </w:rPr>
              <w:t xml:space="preserve">Discipline policy is determined by </w:t>
            </w:r>
            <w:hyperlink r:id="rId44">
              <w:r>
                <w:rPr>
                  <w:rFonts w:eastAsia="Times New Roman" w:cs="Times New Roman" w:ascii="Times New Roman" w:hAnsi="Times New Roman"/>
                  <w:sz w:val="24"/>
                  <w:szCs w:val="24"/>
                  <w:highlight w:val="green"/>
                </w:rPr>
                <w:t xml:space="preserve">the University's Academic Policy </w:t>
              </w:r>
            </w:hyperlink>
            <w:r>
              <w:rPr>
                <w:rFonts w:eastAsia="Times New Roman" w:cs="Times New Roman" w:ascii="Times New Roman" w:hAnsi="Times New Roman"/>
                <w:sz w:val="24"/>
                <w:szCs w:val="24"/>
                <w:highlight w:val="green"/>
              </w:rPr>
              <w:t xml:space="preserve">and </w:t>
            </w:r>
            <w:hyperlink r:id="rId45">
              <w:r>
                <w:rPr>
                  <w:rFonts w:eastAsia="Times New Roman" w:cs="Times New Roman" w:ascii="Times New Roman" w:hAnsi="Times New Roman"/>
                  <w:sz w:val="24"/>
                  <w:szCs w:val="24"/>
                  <w:highlight w:val="green"/>
                </w:rPr>
                <w:t xml:space="preserve">the University's Academic Integrity Policy </w:t>
              </w:r>
            </w:hyperlink>
            <w:r>
              <w:rPr>
                <w:rFonts w:eastAsia="Times New Roman" w:cs="Times New Roman" w:ascii="Times New Roman" w:hAnsi="Times New Roman"/>
                <w:sz w:val="24"/>
                <w:szCs w:val="24"/>
                <w:highlight w:val="green"/>
              </w:rPr>
              <w:t>. If the links do not open, then you can find the relevant documents in the IS Univer .</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Discipline:</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It is not allowed to be late for classes or the morning conference.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Religious events, holidays, etc. are not a valid reason for skipping, being late and distracting the teacher and the group from work during classes.</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If you are late for a good reason - do not distract the group and the teacher from the lesson and quietly go to your place.</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Leaving the class before the scheduled time, being outside the workplace during school hours is regarded as absenteeism.</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Additional work of students during study hours (during practical classes and shifts) is not allowed.</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students who have more than 3 passes without notifying the curator and a good reason, a report is issued with a recommendation for expulsion.</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Missed classes are not made up.</w:t>
            </w:r>
          </w:p>
          <w:p>
            <w:pPr>
              <w:pStyle w:val="Normal1"/>
              <w:widowControl w:val="false"/>
              <w:rPr>
                <w:color w:val="000000"/>
                <w:shd w:fill="auto" w:val="clear"/>
              </w:rPr>
            </w:pPr>
            <w:r>
              <w:rPr>
                <w:rFonts w:eastAsia="Times New Roman" w:cs="Times New Roman" w:ascii="Times New Roman" w:hAnsi="Times New Roman"/>
                <w:color w:val="000000"/>
                <w:sz w:val="24"/>
                <w:szCs w:val="24"/>
                <w:shd w:fill="81D41A" w:val="clear"/>
              </w:rPr>
              <w:t>Decision of the Department of Clinical Disciplines (protocol No. 2 of September 5, 2023):</w:t>
            </w:r>
          </w:p>
          <w:p>
            <w:pPr>
              <w:pStyle w:val="Normal1"/>
              <w:widowControl w:val="false"/>
              <w:rPr>
                <w:color w:val="000000"/>
                <w:shd w:fill="auto" w:val="clear"/>
              </w:rPr>
            </w:pPr>
            <w:r>
              <w:rPr>
                <w:rFonts w:eastAsia="Times New Roman" w:cs="Times New Roman" w:ascii="Times New Roman" w:hAnsi="Times New Roman"/>
                <w:b/>
                <w:color w:val="000000"/>
                <w:sz w:val="24"/>
                <w:szCs w:val="24"/>
                <w:shd w:fill="81D41A" w:val="clear"/>
              </w:rPr>
              <w:t>In addition to the requirements for the academic discipline:</w:t>
            </w:r>
          </w:p>
          <w:p>
            <w:pPr>
              <w:pStyle w:val="Normal1"/>
              <w:widowControl w:val="false"/>
              <w:rPr>
                <w:color w:val="000000"/>
                <w:shd w:fill="auto" w:val="clear"/>
              </w:rPr>
            </w:pPr>
            <w:r>
              <w:rPr>
                <w:rFonts w:eastAsia="Times New Roman" w:cs="Times New Roman" w:ascii="Times New Roman" w:hAnsi="Times New Roman"/>
                <w:color w:val="000000"/>
                <w:sz w:val="24"/>
                <w:szCs w:val="24"/>
                <w:shd w:fill="81D41A" w:val="clear"/>
              </w:rPr>
              <w:t>If you miss a class without a good reason, the teacher has the right to deduct points from the current control -</w:t>
            </w:r>
          </w:p>
          <w:p>
            <w:pPr>
              <w:pStyle w:val="Normal1"/>
              <w:widowControl w:val="false"/>
              <w:rPr>
                <w:color w:val="000000"/>
                <w:shd w:fill="auto" w:val="clear"/>
              </w:rPr>
            </w:pPr>
            <w:r>
              <w:rPr>
                <w:rFonts w:eastAsia="Times New Roman" w:cs="Times New Roman" w:ascii="Times New Roman" w:hAnsi="Times New Roman"/>
                <w:color w:val="000000"/>
                <w:sz w:val="24"/>
                <w:szCs w:val="24"/>
                <w:shd w:fill="81D41A" w:val="clear"/>
              </w:rPr>
              <w:t>5 points for each missed lesson for 3rd year disciplines</w:t>
            </w:r>
          </w:p>
          <w:p>
            <w:pPr>
              <w:pStyle w:val="Normal1"/>
              <w:widowControl w:val="false"/>
              <w:rPr>
                <w:color w:val="000000"/>
                <w:shd w:fill="auto" w:val="clear"/>
              </w:rPr>
            </w:pPr>
            <w:r>
              <w:rPr>
                <w:rFonts w:eastAsia="Times New Roman" w:cs="Times New Roman" w:ascii="Times New Roman" w:hAnsi="Times New Roman"/>
                <w:color w:val="000000"/>
                <w:sz w:val="24"/>
                <w:szCs w:val="24"/>
                <w:shd w:fill="81D41A" w:val="clear"/>
              </w:rPr>
              <w:t>10 points for each missed lesson for 4-5 year disciplines</w:t>
            </w:r>
          </w:p>
          <w:p>
            <w:pPr>
              <w:pStyle w:val="Normal1"/>
              <w:widowControl w:val="false"/>
              <w:spacing w:lineRule="auto" w:line="240" w:before="0" w:after="0"/>
              <w:ind w:left="388" w:right="140" w:hanging="283"/>
              <w:jc w:val="left"/>
              <w:rPr/>
            </w:pPr>
            <w:r>
              <w:rPr/>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Students are fully subject to the internal regulations of the clinical bases of the department</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Greet the teacher and any older person by standing up (in class)</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Respectful attitude towards colleagues regardless of gender, age, nationality, religion, sexual orientation.</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Have a laptop with you / laptop / tab / tablet for learning and passing MCQ tests , boundary and final controls .</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Taking MCQ tests on phones and smartphones is strictly prohibited .</w:t>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highlight w:val="green"/>
              </w:rPr>
              <w:t xml:space="preserve">The behavior of the student at the exams is regulated by </w:t>
            </w:r>
            <w:hyperlink r:id="rId46">
              <w:r>
                <w:rPr>
                  <w:rFonts w:eastAsia="Times New Roman" w:cs="Times New Roman" w:ascii="Times New Roman" w:hAnsi="Times New Roman"/>
                  <w:sz w:val="24"/>
                  <w:szCs w:val="24"/>
                  <w:highlight w:val="green"/>
                </w:rPr>
                <w:t xml:space="preserve">the "Rules for the final control" </w:t>
              </w:r>
            </w:hyperlink>
            <w:r>
              <w:rPr>
                <w:rFonts w:eastAsia="Times New Roman" w:cs="Times New Roman" w:ascii="Times New Roman" w:hAnsi="Times New Roman"/>
                <w:sz w:val="24"/>
                <w:szCs w:val="24"/>
                <w:highlight w:val="green"/>
              </w:rPr>
              <w:t xml:space="preserve">, </w:t>
            </w:r>
            <w:hyperlink r:id="rId47">
              <w:r>
                <w:rPr>
                  <w:rFonts w:eastAsia="Times New Roman" w:cs="Times New Roman" w:ascii="Times New Roman" w:hAnsi="Times New Roman"/>
                  <w:sz w:val="24"/>
                  <w:szCs w:val="24"/>
                  <w:highlight w:val="green"/>
                </w:rPr>
                <w:t xml:space="preserve">"Instructions for the final control of the autumn/spring semester of the current academic year" </w:t>
              </w:r>
            </w:hyperlink>
            <w:r>
              <w:rPr>
                <w:rFonts w:eastAsia="Times New Roman" w:cs="Times New Roman" w:ascii="Times New Roman" w:hAnsi="Times New Roman"/>
                <w:sz w:val="24"/>
                <w:szCs w:val="24"/>
                <w:highlight w:val="green"/>
              </w:rPr>
              <w:t xml:space="preserve">(up-to-date documents are uploaded to the Univer IS and are updated before the start of the session); </w:t>
            </w:r>
            <w:hyperlink r:id="rId48">
              <w:r>
                <w:rPr>
                  <w:rFonts w:eastAsia="Times New Roman" w:cs="Times New Roman" w:ascii="Times New Roman" w:hAnsi="Times New Roman"/>
                  <w:sz w:val="24"/>
                  <w:szCs w:val="24"/>
                  <w:highlight w:val="green"/>
                </w:rPr>
                <w:t xml:space="preserve">"Regulations on checking students' text documents for borrowings" </w:t>
              </w:r>
            </w:hyperlink>
            <w:r>
              <w:rPr>
                <w:rFonts w:eastAsia="Times New Roman" w:cs="Times New Roman" w:ascii="Times New Roman" w:hAnsi="Times New Roman"/>
                <w:sz w:val="24"/>
                <w:szCs w:val="24"/>
                <w:highlight w:val="green"/>
              </w:rPr>
              <w:t>.</w:t>
            </w:r>
          </w:p>
        </w:tc>
      </w:tr>
      <w:tr>
        <w:trPr/>
        <w:tc>
          <w:tcPr>
            <w:tcW w:w="1375"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14.</w:t>
            </w:r>
          </w:p>
        </w:tc>
        <w:tc>
          <w:tcPr>
            <w:tcW w:w="8850" w:type="dxa"/>
            <w:gridSpan w:val="16"/>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Principles of inclusive education (no more than 150 words).</w:t>
            </w:r>
          </w:p>
        </w:tc>
      </w:tr>
      <w:tr>
        <w:trPr/>
        <w:tc>
          <w:tcPr>
            <w:tcW w:w="137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850" w:type="dxa"/>
            <w:gridSpan w:val="16"/>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1. Constantly prepare for classes: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example, backs up statements with relevant references, makes brief summaries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Demonstrates effective teaching skills, assists in teaching others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2. Take responsibility for your learning:</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example, manages their learning plan, actively tries to improve, critically evaluates information resources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3. Actively participate in group learning:</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example, actively participates in discussions, willingly takes tasks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4. Demonstrate effective group skills</w:t>
            </w:r>
          </w:p>
          <w:p>
            <w:pPr>
              <w:pStyle w:val="Normal1"/>
              <w:widowControl w:val="false"/>
              <w:tabs>
                <w:tab w:val="clear" w:pos="720"/>
                <w:tab w:val="left" w:pos="993" w:leader="none"/>
                <w:tab w:val="left" w:pos="1134"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For example, takes the initiative, shows respect and correctness towards others, helps to resolve misunderstandings and conflicts.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5. Skillful communication with peers: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example, actively listening, receptive to non-verbal and emotional cues</w:t>
            </w:r>
          </w:p>
          <w:p>
            <w:pPr>
              <w:pStyle w:val="Normal1"/>
              <w:widowControl w:val="false"/>
              <w:tabs>
                <w:tab w:val="clear" w:pos="720"/>
                <w:tab w:val="left" w:pos="993" w:leader="none"/>
                <w:tab w:val="left" w:pos="1134"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Respectful attitude</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6. Highly developed professional skills: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Eager to complete tasks, seek opportunities for more learning, confident and skilled</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Compliance with ethics and deontology in relation to patients and medical staff</w:t>
            </w:r>
          </w:p>
          <w:p>
            <w:pPr>
              <w:pStyle w:val="Normal1"/>
              <w:widowControl w:val="false"/>
              <w:tabs>
                <w:tab w:val="clear" w:pos="720"/>
                <w:tab w:val="left" w:pos="993" w:leader="none"/>
                <w:tab w:val="left" w:pos="1134"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Observance of subordination.</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7. High Introspection:</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example, recognizes the limitations of their knowledge or abilities without becoming defensive or rebuking others.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8. Highly developed critical thinking:</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example, appropriately demonstrates skill in performing key tasks such as generating hypotheses, applying knowledge to case studies, critically evaluating information, drawing conclusions aloud, explaining the process of thinking</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9. Fully adheres to the rules of academic conduct with understanding, proposes improvements in order to increase efficiency.</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Complies with the ethics of communication - both oral and written (in chats and appeals)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10. Fully follows the rules with full understanding of them, encourages other members of the group to adhere to the rules</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Strictly adheres to the principles of medical ethics and PRIMUM NON NOCER</w:t>
            </w:r>
          </w:p>
        </w:tc>
      </w:tr>
      <w:tr>
        <w:trPr/>
        <w:tc>
          <w:tcPr>
            <w:tcW w:w="1375"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15.</w:t>
            </w:r>
          </w:p>
        </w:tc>
        <w:tc>
          <w:tcPr>
            <w:tcW w:w="8850" w:type="dxa"/>
            <w:gridSpan w:val="16"/>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Distance/Online Learning - Prohibited by Clinical Discipline</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i/>
                <w:sz w:val="24"/>
                <w:szCs w:val="24"/>
              </w:rPr>
              <w:t>(parts highlighted in green please do not modify)</w:t>
            </w:r>
          </w:p>
        </w:tc>
      </w:tr>
      <w:tr>
        <w:trPr/>
        <w:tc>
          <w:tcPr>
            <w:tcW w:w="10225"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highlight w:val="green"/>
              </w:rPr>
              <w:t>1. According to the order of the Ministry of Education and Science of the Republic of Kazakhstan No. 17513 dated October 9, 2018 " On approval of the List of areas of training of personnel with higher and postgraduate education, training in which in the form of external study and online education is not allowed"</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highlight w:val="green"/>
              </w:rPr>
              <w:t xml:space="preserve">According to the above regulatory document, specialties with the code of disciplines </w:t>
            </w:r>
            <w:r>
              <w:rPr>
                <w:rFonts w:eastAsia="Times New Roman" w:cs="Times New Roman" w:ascii="Times New Roman" w:hAnsi="Times New Roman"/>
                <w:b/>
                <w:sz w:val="24"/>
                <w:szCs w:val="24"/>
                <w:highlight w:val="green"/>
              </w:rPr>
              <w:t xml:space="preserve">health care </w:t>
            </w:r>
            <w:r>
              <w:rPr>
                <w:rFonts w:eastAsia="Times New Roman" w:cs="Times New Roman" w:ascii="Times New Roman" w:hAnsi="Times New Roman"/>
                <w:sz w:val="24"/>
                <w:szCs w:val="24"/>
                <w:highlight w:val="green"/>
              </w:rPr>
              <w:t xml:space="preserve">: bachelor's degree (6B101), master's degree (7M 101), residency (7R 101), doctoral studies, (8D 101 ) - training in the form of external study and online education - </w:t>
            </w:r>
            <w:r>
              <w:rPr>
                <w:rFonts w:eastAsia="Times New Roman" w:cs="Times New Roman" w:ascii="Times New Roman" w:hAnsi="Times New Roman"/>
                <w:b/>
                <w:sz w:val="24"/>
                <w:szCs w:val="24"/>
                <w:highlight w:val="green"/>
              </w:rPr>
              <w:t>is not allowed.</w:t>
            </w:r>
            <w:r>
              <w:rPr>
                <w:rFonts w:eastAsia="Times New Roman" w:cs="Times New Roman" w:ascii="Times New Roman" w:hAnsi="Times New Roman"/>
                <w:b/>
                <w:sz w:val="24"/>
                <w:szCs w:val="24"/>
              </w:rPr>
              <w:t xml:space="preserve"> </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Thus, students are prohibited from distance learning in any form.</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It is only allowed to work out a lesson in a discipline due to the absence of a student for reasons beyond his control and the presence of a timely confirming document (example: a health problem and presenting a confirming document - a medical certificate, an SMP signal sheet, an extract from a consultative appointment with a medical specialist - doctor )</w:t>
            </w:r>
          </w:p>
        </w:tc>
      </w:tr>
      <w:tr>
        <w:trPr/>
        <w:tc>
          <w:tcPr>
            <w:tcW w:w="1375"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16.</w:t>
            </w:r>
          </w:p>
        </w:tc>
        <w:tc>
          <w:tcPr>
            <w:tcW w:w="8850" w:type="dxa"/>
            <w:gridSpan w:val="16"/>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Approval and review</w:t>
            </w:r>
          </w:p>
        </w:tc>
      </w:tr>
      <w:tr>
        <w:trPr>
          <w:trHeight w:val="173" w:hRule="atLeast"/>
        </w:trPr>
        <w:tc>
          <w:tcPr>
            <w:tcW w:w="2808"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Department head</w:t>
            </w:r>
          </w:p>
        </w:tc>
        <w:tc>
          <w:tcPr>
            <w:tcW w:w="200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w:t>
            </w:r>
          </w:p>
        </w:tc>
        <w:tc>
          <w:tcPr>
            <w:tcW w:w="541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 Kurmanova G.M.</w:t>
            </w:r>
          </w:p>
        </w:tc>
      </w:tr>
      <w:tr>
        <w:trPr>
          <w:trHeight w:val="173" w:hRule="atLeast"/>
        </w:trPr>
        <w:tc>
          <w:tcPr>
            <w:tcW w:w="2808"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Teaching Quality Committee</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and teaching faculty</w:t>
            </w:r>
          </w:p>
        </w:tc>
        <w:tc>
          <w:tcPr>
            <w:tcW w:w="200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Protocol No.</w:t>
            </w:r>
          </w:p>
        </w:tc>
        <w:tc>
          <w:tcPr>
            <w:tcW w:w="541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Approval date</w:t>
            </w:r>
          </w:p>
        </w:tc>
      </w:tr>
      <w:tr>
        <w:trPr>
          <w:trHeight w:val="173" w:hRule="atLeast"/>
        </w:trPr>
        <w:tc>
          <w:tcPr>
            <w:tcW w:w="2808"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Chairman of the Academic Committee of the FM&amp;Z</w:t>
            </w:r>
          </w:p>
        </w:tc>
        <w:tc>
          <w:tcPr>
            <w:tcW w:w="200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w:t>
            </w:r>
          </w:p>
        </w:tc>
        <w:tc>
          <w:tcPr>
            <w:tcW w:w="541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prof. Kurmanova G.M.</w:t>
            </w:r>
          </w:p>
        </w:tc>
      </w:tr>
      <w:tr>
        <w:trPr>
          <w:trHeight w:val="173" w:hRule="atLeast"/>
        </w:trPr>
        <w:tc>
          <w:tcPr>
            <w:tcW w:w="2808"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Dean</w:t>
            </w:r>
          </w:p>
        </w:tc>
        <w:tc>
          <w:tcPr>
            <w:tcW w:w="200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w:t>
            </w:r>
          </w:p>
        </w:tc>
        <w:tc>
          <w:tcPr>
            <w:tcW w:w="541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Dean of the Faculty</w:t>
            </w:r>
          </w:p>
        </w:tc>
      </w:tr>
    </w:tbl>
    <w:p>
      <w:pPr>
        <w:pStyle w:val="Normal1"/>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sectPr>
          <w:type w:val="nextPage"/>
          <w:pgSz w:w="11906" w:h="16838"/>
          <w:pgMar w:left="1701" w:right="850" w:gutter="0" w:header="0" w:top="1134" w:footer="0" w:bottom="1134"/>
          <w:pgNumType w:start="1" w:fmt="decimal"/>
          <w:formProt w:val="false"/>
          <w:textDirection w:val="lrTb"/>
          <w:docGrid w:type="default" w:linePitch="100" w:charSpace="4096"/>
        </w:sectPr>
        <w:pStyle w:val="Normal1"/>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r>
        <w:br w:type="page"/>
      </w:r>
    </w:p>
    <w:p>
      <w:pPr>
        <w:pStyle w:val="Normal1"/>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RUBRICATOR FOR ASSESSING LEARNING OUTCOMES</w:t>
      </w:r>
      <w:r>
        <w:rPr>
          <w:rFonts w:eastAsia="Times New Roman" w:cs="Times New Roman" w:ascii="Times New Roman" w:hAnsi="Times New Roman"/>
          <w:sz w:val="24"/>
          <w:szCs w:val="24"/>
        </w:rPr>
        <w:t> </w:t>
      </w:r>
    </w:p>
    <w:p>
      <w:pPr>
        <w:pStyle w:val="Normal1"/>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with summative assessment</w:t>
      </w:r>
      <w:r>
        <w:rPr>
          <w:rFonts w:eastAsia="Times New Roman" w:cs="Times New Roman" w:ascii="Times New Roman" w:hAnsi="Times New Roman"/>
          <w:sz w:val="24"/>
          <w:szCs w:val="24"/>
        </w:rPr>
        <w:t> </w:t>
      </w:r>
    </w:p>
    <w:p>
      <w:pPr>
        <w:pStyle w:val="Normal1"/>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Rating calculation formula</w:t>
      </w:r>
    </w:p>
    <w:p>
      <w:pPr>
        <w:pStyle w:val="Normal1"/>
        <w:jc w:val="both"/>
        <w:rPr>
          <w:rFonts w:ascii="Times New Roman" w:hAnsi="Times New Roman" w:eastAsia="Times New Roman" w:cs="Times New Roman"/>
          <w:color w:val="2C2D2E"/>
          <w:sz w:val="24"/>
          <w:szCs w:val="24"/>
        </w:rPr>
      </w:pPr>
      <w:r>
        <w:rPr>
          <w:rFonts w:eastAsia="Times New Roman" w:cs="Times New Roman" w:ascii="Times New Roman" w:hAnsi="Times New Roman"/>
          <w:b/>
          <w:sz w:val="24"/>
          <w:szCs w:val="24"/>
        </w:rPr>
        <w:t xml:space="preserve">For the 4th course as a whole-  </w:t>
      </w:r>
      <w:r>
        <w:rPr>
          <w:rFonts w:eastAsia="Times New Roman" w:cs="Times New Roman" w:ascii="Times New Roman" w:hAnsi="Times New Roman"/>
          <w:b/>
          <w:color w:val="000000"/>
          <w:sz w:val="24"/>
          <w:szCs w:val="24"/>
        </w:rPr>
        <w:t>overall admission rating (OAR)</w:t>
      </w:r>
      <w:r>
        <w:rPr>
          <w:rFonts w:eastAsia="Times New Roman" w:cs="Times New Roman" w:ascii="Times New Roman" w:hAnsi="Times New Roman"/>
          <w:b/>
          <w:sz w:val="24"/>
          <w:szCs w:val="24"/>
        </w:rPr>
        <w:t xml:space="preserve"> </w:t>
      </w:r>
    </w:p>
    <w:tbl>
      <w:tblPr>
        <w:tblStyle w:val="Table4"/>
        <w:tblW w:w="14735" w:type="dxa"/>
        <w:jc w:val="left"/>
        <w:tblInd w:w="-8" w:type="dxa"/>
        <w:tblLayout w:type="fixed"/>
        <w:tblCellMar>
          <w:top w:w="0" w:type="dxa"/>
          <w:left w:w="108" w:type="dxa"/>
          <w:bottom w:w="0" w:type="dxa"/>
          <w:right w:w="108" w:type="dxa"/>
        </w:tblCellMar>
        <w:tblLook w:val="0400"/>
      </w:tblPr>
      <w:tblGrid>
        <w:gridCol w:w="12568"/>
        <w:gridCol w:w="2166"/>
      </w:tblGrid>
      <w:tr>
        <w:trPr>
          <w:trHeight w:val="317" w:hRule="atLeast"/>
        </w:trPr>
        <w:tc>
          <w:tcPr>
            <w:tcW w:w="12568" w:type="dxa"/>
            <w:tcBorders>
              <w:top w:val="single" w:sz="6" w:space="0" w:color="000000"/>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Medical history</w:t>
            </w:r>
          </w:p>
        </w:tc>
        <w:tc>
          <w:tcPr>
            <w:tcW w:w="2166" w:type="dxa"/>
            <w:tcBorders>
              <w:top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thirty%</w:t>
            </w:r>
          </w:p>
        </w:tc>
      </w:tr>
      <w:tr>
        <w:trPr>
          <w:trHeight w:val="317"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Border control 1</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70%</w:t>
            </w:r>
          </w:p>
        </w:tc>
      </w:tr>
      <w:tr>
        <w:trPr>
          <w:trHeight w:val="329"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b/>
                <w:color w:val="000000"/>
                <w:sz w:val="24"/>
                <w:szCs w:val="24"/>
              </w:rPr>
              <w:t>Total for BC-1</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100%</w:t>
            </w:r>
          </w:p>
        </w:tc>
      </w:tr>
      <w:tr>
        <w:trPr>
          <w:trHeight w:val="317"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Medical history</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20%</w:t>
            </w:r>
          </w:p>
        </w:tc>
      </w:tr>
      <w:tr>
        <w:trPr>
          <w:trHeight w:val="329"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Science project</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10%</w:t>
            </w:r>
          </w:p>
        </w:tc>
      </w:tr>
      <w:tr>
        <w:trPr>
          <w:trHeight w:val="329"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360 rating</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10%</w:t>
            </w:r>
          </w:p>
        </w:tc>
      </w:tr>
      <w:tr>
        <w:trPr>
          <w:trHeight w:val="317"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Border control 2</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60%</w:t>
            </w:r>
          </w:p>
        </w:tc>
      </w:tr>
      <w:tr>
        <w:trPr>
          <w:trHeight w:val="51"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b/>
                <w:color w:val="000000"/>
                <w:sz w:val="24"/>
                <w:szCs w:val="24"/>
              </w:rPr>
              <w:t>Total for BC-2</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100%</w:t>
            </w:r>
          </w:p>
        </w:tc>
      </w:tr>
    </w:tbl>
    <w:p>
      <w:pPr>
        <w:pStyle w:val="Normal1"/>
        <w:spacing w:lineRule="auto" w:line="240" w:before="280" w:after="160"/>
        <w:jc w:val="both"/>
        <w:rPr>
          <w:rFonts w:ascii="Times New Roman" w:hAnsi="Times New Roman" w:eastAsia="Times New Roman" w:cs="Times New Roman"/>
          <w:color w:val="2C2D2E"/>
          <w:sz w:val="24"/>
          <w:szCs w:val="24"/>
        </w:rPr>
      </w:pPr>
      <w:r>
        <w:rPr>
          <w:rFonts w:eastAsia="Times New Roman" w:cs="Times New Roman" w:ascii="Times New Roman" w:hAnsi="Times New Roman"/>
          <w:b/>
          <w:color w:val="000000"/>
          <w:sz w:val="24"/>
          <w:szCs w:val="24"/>
        </w:rPr>
        <w:t xml:space="preserve">Final score: </w:t>
      </w:r>
      <w:r>
        <w:rPr>
          <w:rFonts w:eastAsia="Times New Roman" w:cs="Times New Roman" w:ascii="Times New Roman" w:hAnsi="Times New Roman"/>
          <w:color w:val="000000"/>
          <w:sz w:val="24"/>
          <w:szCs w:val="24"/>
        </w:rPr>
        <w:t>OAR 60% + exam 40%</w:t>
      </w:r>
    </w:p>
    <w:p>
      <w:pPr>
        <w:pStyle w:val="Normal1"/>
        <w:spacing w:lineRule="auto" w:line="240" w:before="0" w:after="280"/>
        <w:rPr>
          <w:rFonts w:ascii="Times New Roman" w:hAnsi="Times New Roman" w:eastAsia="Times New Roman" w:cs="Times New Roman"/>
          <w:b/>
          <w:b/>
          <w:color w:val="FFFFFF"/>
          <w:sz w:val="24"/>
          <w:szCs w:val="24"/>
        </w:rPr>
      </w:pPr>
      <w:r>
        <w:rPr>
          <w:rFonts w:eastAsia="Times New Roman" w:cs="Times New Roman" w:ascii="Times New Roman" w:hAnsi="Times New Roman"/>
          <w:b/>
          <w:color w:val="000000"/>
          <w:sz w:val="24"/>
          <w:szCs w:val="24"/>
        </w:rPr>
        <w:t xml:space="preserve">Exam (2 stages) </w:t>
      </w:r>
      <w:r>
        <w:rPr>
          <w:rFonts w:eastAsia="Times New Roman" w:cs="Times New Roman" w:ascii="Times New Roman" w:hAnsi="Times New Roman"/>
          <w:color w:val="000000"/>
          <w:sz w:val="24"/>
          <w:szCs w:val="24"/>
        </w:rPr>
        <w:t xml:space="preserve">– MCQ testing (40%) + OSCE (60%) </w:t>
      </w:r>
      <w:r>
        <w:rPr>
          <w:rFonts w:eastAsia="Times New Roman" w:cs="Times New Roman" w:ascii="Times New Roman" w:hAnsi="Times New Roman"/>
          <w:b/>
          <w:color w:val="FFFFFF"/>
          <w:sz w:val="24"/>
          <w:szCs w:val="24"/>
        </w:rPr>
        <w:t>)</w:t>
      </w:r>
    </w:p>
    <w:p>
      <w:pPr>
        <w:pStyle w:val="Normal1"/>
        <w:spacing w:lineRule="auto" w:line="240" w:before="0" w:after="280"/>
        <w:rPr>
          <w:rFonts w:ascii="Times New Roman" w:hAnsi="Times New Roman" w:eastAsia="Times New Roman" w:cs="Times New Roman"/>
          <w:b/>
          <w:b/>
          <w:color w:val="FFFFFF"/>
          <w:sz w:val="24"/>
          <w:szCs w:val="24"/>
        </w:rPr>
      </w:pPr>
      <w:r>
        <w:rPr>
          <w:rFonts w:eastAsia="Times New Roman" w:cs="Times New Roman" w:ascii="Times New Roman" w:hAnsi="Times New Roman"/>
          <w:b/>
          <w:color w:val="FFFFFF"/>
          <w:sz w:val="24"/>
          <w:szCs w:val="24"/>
        </w:rPr>
      </w:r>
    </w:p>
    <w:p>
      <w:pPr>
        <w:pStyle w:val="Normal1"/>
        <w:spacing w:lineRule="auto" w:line="240" w:before="0" w:after="280"/>
        <w:rPr>
          <w:rFonts w:ascii="Times New Roman" w:hAnsi="Times New Roman" w:eastAsia="Times New Roman" w:cs="Times New Roman"/>
          <w:color w:val="2C2D2E"/>
          <w:sz w:val="24"/>
          <w:szCs w:val="24"/>
        </w:rPr>
      </w:pPr>
      <w:r>
        <w:rPr>
          <w:rFonts w:eastAsia="Times New Roman" w:cs="Times New Roman" w:ascii="Times New Roman" w:hAnsi="Times New Roman"/>
          <w:color w:val="2C2D2E"/>
          <w:sz w:val="24"/>
          <w:szCs w:val="24"/>
        </w:rPr>
      </w:r>
    </w:p>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Problem based learning - TBL</w:t>
      </w:r>
    </w:p>
    <w:p>
      <w:pPr>
        <w:pStyle w:val="Normal1"/>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bl>
      <w:tblPr>
        <w:tblStyle w:val="Table5"/>
        <w:tblW w:w="8363" w:type="dxa"/>
        <w:jc w:val="center"/>
        <w:tblInd w:w="0" w:type="dxa"/>
        <w:tblLayout w:type="fixed"/>
        <w:tblCellMar>
          <w:top w:w="0" w:type="dxa"/>
          <w:left w:w="108" w:type="dxa"/>
          <w:bottom w:w="0" w:type="dxa"/>
          <w:right w:w="108" w:type="dxa"/>
        </w:tblCellMar>
        <w:tblLook w:val="0400"/>
      </w:tblPr>
      <w:tblGrid>
        <w:gridCol w:w="7427"/>
        <w:gridCol w:w="935"/>
      </w:tblGrid>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Peer evaluation</w:t>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Tutor evaluation</w:t>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50</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Self-esteem</w:t>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20 </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100%</w:t>
            </w:r>
          </w:p>
        </w:tc>
      </w:tr>
    </w:tbl>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Estimated headings</w:t>
      </w:r>
    </w:p>
    <w:p>
      <w:pPr>
        <w:pStyle w:val="Normal1"/>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360° assessment checklist for student</w:t>
      </w:r>
    </w:p>
    <w:p>
      <w:pPr>
        <w:pStyle w:val="Normal1"/>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CURATOR and Lecturer</w:t>
      </w:r>
    </w:p>
    <w:p>
      <w:pPr>
        <w:pStyle w:val="Normal1"/>
        <w:ind w:firstLine="284"/>
        <w:rPr>
          <w:rFonts w:ascii="Times New Roman" w:hAnsi="Times New Roman" w:eastAsia="Times New Roman" w:cs="Times New Roman"/>
          <w:sz w:val="24"/>
          <w:szCs w:val="24"/>
        </w:rPr>
      </w:pPr>
      <w:r>
        <w:rPr>
          <w:rFonts w:eastAsia="Times New Roman" w:cs="Times New Roman" w:ascii="Times New Roman" w:hAnsi="Times New Roman"/>
          <w:sz w:val="24"/>
          <w:szCs w:val="24"/>
        </w:rPr>
        <w:t>FULL NAME. Curator ____________________________________________ Signature ______________</w:t>
      </w:r>
    </w:p>
    <w:tbl>
      <w:tblPr>
        <w:tblStyle w:val="Table6"/>
        <w:tblW w:w="14486" w:type="dxa"/>
        <w:jc w:val="left"/>
        <w:tblInd w:w="392" w:type="dxa"/>
        <w:tblLayout w:type="fixed"/>
        <w:tblCellMar>
          <w:top w:w="0" w:type="dxa"/>
          <w:left w:w="108" w:type="dxa"/>
          <w:bottom w:w="0" w:type="dxa"/>
          <w:right w:w="108" w:type="dxa"/>
        </w:tblCellMar>
        <w:tblLook w:val="0000"/>
      </w:tblPr>
      <w:tblGrid>
        <w:gridCol w:w="424"/>
        <w:gridCol w:w="6125"/>
        <w:gridCol w:w="1558"/>
        <w:gridCol w:w="6378"/>
      </w:tblGrid>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Very well</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Criteria and points</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Unsatisfactory</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Constantly preparing for classes: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 example, backs up statements with relevant references, makes short summaries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Demonstrates effective teaching skills, assists in teaching others</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Preparation</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Constantly not preparing for class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insufficient reading and study of problematic issues, makes little contribution to the knowledge of the group, does not analyze, does not summarize the material.</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Takes responsibility for their own learning:</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manages their learning plan, actively tries to improve, critically evaluates information resources</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Responsibility</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Takes no responsibility for their own learning:</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depends on others to complete the learning plan, hides mistakes, rarely critically analyzes resources.</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Actively participates in the training of the group:</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actively participates in discussions, willingly takes tasks</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Participation</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Not active in the group training process: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does not participate in the discussion process, is reluctant to accept assignments</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Demonstrates effective group skills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takes the initiative, shows respect and correctness towards others, helps to resolve misunderstandings and conflicts.</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Group Skills</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Demonstrates ineffective group skills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inappropriately intervening, showing poor discussion skills by interrupting, avoiding or ignoring others, dominating or being impatient</w:t>
            </w:r>
            <w:r>
              <w:rPr>
                <w:rFonts w:eastAsia="Times New Roman" w:cs="Times New Roman" w:ascii="Times New Roman" w:hAnsi="Times New Roman"/>
                <w:b/>
                <w:sz w:val="24"/>
                <w:szCs w:val="24"/>
              </w:rPr>
              <w:t xml:space="preserve"> </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Skilled in communicating with peers: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 example, actively listening, receptive to non-verbal and emotional cues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Respectful attitude</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Communications</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Difficulty communicating with peers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For example, poor listening skills, unable or disinclined to listen to non-verbal or emotional cues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Use of obscene language</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Highly developed professional skills: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Eager to complete tasks, seek opportunities for more learning, confident and skilled</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Compliance with ethics and deontology in relation to patients and medical staff</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Compliance with subordination</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Professionalism</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Clumsy, fearful, refusing to try even basic procedures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Inferiority in professional behavior - causing harm to the patient, rude disrespectful attitude towards medical staff, colleagues</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7</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High Introspection:</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recognizes the limitations of their knowledge or abilities without becoming defensive or rebuking others.</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Reflection</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Low introspection:</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needs more awareness of the limits of understanding or ability and does not take positive steps to correct</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Highly developed critical thinking:</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appropriately demonstrates skill in performing key tasks such as generating hypotheses, applying knowledge to case studies, critically evaluating information, drawing conclusions aloud, explaining the process of thinking</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Critical thinking</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Critical Thinking Deficiency:</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For example, has difficulty completing key tasks. As a rule, does not generate hypotheses, does not apply knowledge in practice either because of their lack or because of inability (lack of induction), does not know how to critically evaluate information</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Fully adheres to the rules of academic conduct with understanding, suggests improvements in order to increase efficiency.</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Complies with the ethics of communication - both oral and written (in chats and appeals)</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Compliance with the rules of academic conduct</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Neglects the rules, interferes with other members of the team</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right="-113"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Fully follows the rules with full understanding of them, encourages other members of the group to adhere to the rules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Strictly adheres to the principles of medical ethics and PRIMUM NON NOCERE</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Compliance with the rules of conduct in the clinic</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Breaks the rules.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Encourages and provokes other members of the group to break the rules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Creates a threat to the patient</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6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Maximum</w:t>
            </w:r>
          </w:p>
        </w:tc>
        <w:tc>
          <w:tcPr>
            <w:tcW w:w="15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100 points</w:t>
            </w:r>
          </w:p>
        </w:tc>
        <w:tc>
          <w:tcPr>
            <w:tcW w:w="637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22" w:after="0"/>
              <w:ind w:right="-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1"/>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gross violation of professional conduct, rules of conduct in the clinic - or a decrease in the score for the Republic of Kazakhstan or cancellation; ethical committee</w:t>
      </w:r>
    </w:p>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Such violations are a threat to the health of patients due to action (for example, smoking on the territory of the clinic) or inaction; rudeness and rudeness towards any person (patient, classmate, colleague, teacher, doctor, medical staff)</w:t>
      </w:r>
    </w:p>
    <w:p>
      <w:pPr>
        <w:pStyle w:val="Normal1"/>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bl>
      <w:tblPr>
        <w:tblStyle w:val="Table7"/>
        <w:tblW w:w="14879" w:type="dxa"/>
        <w:jc w:val="left"/>
        <w:tblInd w:w="108" w:type="dxa"/>
        <w:tblLayout w:type="fixed"/>
        <w:tblCellMar>
          <w:top w:w="0" w:type="dxa"/>
          <w:left w:w="108" w:type="dxa"/>
          <w:bottom w:w="0" w:type="dxa"/>
          <w:right w:w="108" w:type="dxa"/>
        </w:tblCellMar>
        <w:tblLook w:val="0400"/>
      </w:tblPr>
      <w:tblGrid>
        <w:gridCol w:w="2693"/>
        <w:gridCol w:w="2437"/>
        <w:gridCol w:w="2437"/>
        <w:gridCol w:w="2437"/>
        <w:gridCol w:w="2437"/>
        <w:gridCol w:w="2437"/>
      </w:tblGrid>
      <w:tr>
        <w:trPr>
          <w:trHeight w:val="20" w:hRule="atLeast"/>
        </w:trPr>
        <w:tc>
          <w:tcPr>
            <w:tcW w:w="14878"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right="-198"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Score-rating assessment of students' professional skills - at the mini-clinical exam</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Professional</w:t>
            </w:r>
          </w:p>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skills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points</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 History taking</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collected randomly with details of facts that are not important for the diagnosis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collected unsystematically with significant omissions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collected with the fixation of facts that do not give an idea of the essence of the disease and the sequence of development of symptoms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collected systematically, but without sufficient clarification of the nature of the main symptoms and the possible causes of their occurrence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collected systematically, the anamnesis fully reflects the dynamics of the development of the disease</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Physical</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examination</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no manual skills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carried out chaotically, with omissions, without effect</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carried out insufficiently with technical errors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carried out systematically, but with minor technical inaccuracies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carried out systematically, technically correctly and efficiently</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 Preliminary</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diagnosis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staged</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wrong</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only the class of the disease is indicated</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the leading syndrome is identified, but there is no diagnostic conclusion</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established correctly, without justification</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established correctly, justified</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Purpose of the plan</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surveys</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contraindicated studies are prescribed</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inadequate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not fully adequate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adequate, but with minor omissions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complete and adequate</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 Interpretation of survey results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misjudgment leading to contraindicated actions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largely wrong</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partially correct with significant omissions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correct with minor inaccuracies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complete and correct</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numPr>
                <w:ilvl w:val="0"/>
                <w:numId w:val="5"/>
              </w:numPr>
              <w:spacing w:lineRule="auto" w:line="240" w:before="0" w:after="0"/>
              <w:ind w:left="435" w:hanging="435"/>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Differential -</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diagnosis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inadequate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chaotic</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Incomplete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carried out reasonably, but not with all similar diseases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full</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Professional</w:t>
            </w:r>
          </w:p>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Skills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points</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points</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7. Final diagnosis and justification</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lack of clinical thinking</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diagnosis is justified chaotically, unconvincingly</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diagnosis is insufficiently substantiated, complications, concomitant diseases are not recognized</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diagnosis of the underlying disease is complete, but concomitant diseases are not indicated</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exhaustively complete, substantiated</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Choice of treatment</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prescribed contraindicated drugs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insufficiently adequate in substance and dosage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treatment is not complete enough for both the underlying and concomitant disease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correct but insufficiently exhaustive or polypharmacy</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treatment is adequate</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 Representation of the mechanism of action of the prescribed funds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misinterpretation</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largely wrong</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partial</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wrong about irrelevant details</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complete</w:t>
            </w:r>
          </w:p>
        </w:tc>
      </w:tr>
      <w:tr>
        <w:trPr>
          <w:trHeight w:val="20" w:hRule="atLeast"/>
        </w:trPr>
        <w:tc>
          <w:tcPr>
            <w:tcW w:w="269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Definition of prognosis and prevention</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sz w:val="24"/>
                <w:szCs w:val="24"/>
              </w:rPr>
              <w:t>can't determine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inadequate definition</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insufficiently adequate and incomplete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adequate but incomplete</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adequate, complete</w:t>
            </w:r>
          </w:p>
        </w:tc>
      </w:tr>
    </w:tbl>
    <w:p>
      <w:pPr>
        <w:pStyle w:val="Normal1"/>
        <w:widowControl w:val="false"/>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spacing w:lineRule="auto" w:line="276"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Point-rating assessment (check-list) of medical history management (maximum 100 points)</w:t>
      </w:r>
    </w:p>
    <w:tbl>
      <w:tblPr>
        <w:tblStyle w:val="Table8"/>
        <w:tblW w:w="15595" w:type="dxa"/>
        <w:jc w:val="left"/>
        <w:tblInd w:w="-433" w:type="dxa"/>
        <w:tblLayout w:type="fixed"/>
        <w:tblCellMar>
          <w:top w:w="0" w:type="dxa"/>
          <w:left w:w="108" w:type="dxa"/>
          <w:bottom w:w="0" w:type="dxa"/>
          <w:right w:w="108" w:type="dxa"/>
        </w:tblCellMar>
        <w:tblLook w:val="0000"/>
      </w:tblPr>
      <w:tblGrid>
        <w:gridCol w:w="566"/>
        <w:gridCol w:w="3259"/>
        <w:gridCol w:w="2982"/>
        <w:gridCol w:w="2267"/>
        <w:gridCol w:w="1985"/>
        <w:gridCol w:w="2410"/>
        <w:gridCol w:w="2125"/>
      </w:tblGrid>
      <w:tr>
        <w:trPr>
          <w:trHeight w:val="20" w:hRule="atLeast"/>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No.</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3259"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Criteria</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(assessed by a point system)</w:t>
            </w:r>
          </w:p>
        </w:tc>
        <w:tc>
          <w:tcPr>
            <w:tcW w:w="298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10</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2</w:t>
            </w:r>
          </w:p>
        </w:tc>
      </w:tr>
      <w:tr>
        <w:trPr>
          <w:trHeight w:val="20" w:hRule="atLeast"/>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32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2982"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color w:val="000000"/>
                <w:sz w:val="24"/>
                <w:szCs w:val="24"/>
              </w:rPr>
            </w:pPr>
            <w:r>
              <w:rPr>
                <w:rFonts w:eastAsia="Times New Roman" w:cs="Times New Roman" w:ascii="Times New Roman" w:hAnsi="Times New Roman"/>
                <w:b/>
                <w:i/>
                <w:color w:val="000000"/>
                <w:sz w:val="24"/>
                <w:szCs w:val="24"/>
              </w:rPr>
              <w:t>Excellent </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Good</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Satisfactory </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Need correction</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Bad</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Patient complaints: major and minor</w:t>
            </w:r>
          </w:p>
        </w:tc>
        <w:tc>
          <w:tcPr>
            <w:tcW w:w="2982"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Complete and systematized, with an understanding of important details</w:t>
            </w:r>
          </w:p>
        </w:tc>
        <w:tc>
          <w:tcPr>
            <w:tcW w:w="2267"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Accurate and Complete</w:t>
            </w:r>
          </w:p>
        </w:tc>
        <w:tc>
          <w:tcPr>
            <w:tcW w:w="198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basic information</w:t>
            </w:r>
          </w:p>
        </w:tc>
        <w:tc>
          <w:tcPr>
            <w:tcW w:w="2410"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Incomplete or inaccurate, missed some</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other details</w:t>
            </w:r>
          </w:p>
        </w:tc>
        <w:tc>
          <w:tcPr>
            <w:tcW w:w="212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Misses important</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Collecting anamnesis of the disease</w:t>
            </w:r>
          </w:p>
        </w:tc>
        <w:tc>
          <w:tcPr>
            <w:tcW w:w="2982"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8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12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Anamnesis of life</w:t>
            </w:r>
          </w:p>
        </w:tc>
        <w:tc>
          <w:tcPr>
            <w:tcW w:w="2982"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8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12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4</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Objective status - general examination</w:t>
            </w:r>
          </w:p>
        </w:tc>
        <w:tc>
          <w:tcPr>
            <w:tcW w:w="298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Efficient, organized and focused</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Consistently and correctly</w:t>
            </w:r>
          </w:p>
        </w:tc>
        <w:tc>
          <w:tcPr>
            <w:tcW w:w="198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Revealing underlying data</w:t>
            </w:r>
          </w:p>
        </w:tc>
        <w:tc>
          <w:tcPr>
            <w:tcW w:w="24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Incomplete or not quite correct, not attentive to the convenience of the patient</w:t>
            </w:r>
          </w:p>
        </w:tc>
        <w:tc>
          <w:tcPr>
            <w:tcW w:w="2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Inappropriate data</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5</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Establishing diagnosis</w:t>
            </w:r>
          </w:p>
        </w:tc>
        <w:tc>
          <w:tcPr>
            <w:tcW w:w="2982"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The most complete justification and formulation</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Understands the problem in a complex, connects with the characteristics of the patient</w:t>
            </w:r>
          </w:p>
        </w:tc>
        <w:tc>
          <w:tcPr>
            <w:tcW w:w="2267"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Correct and justified from the point of view of the underlying pathology</w:t>
            </w:r>
          </w:p>
        </w:tc>
        <w:tc>
          <w:tcPr>
            <w:tcW w:w="198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Main Diagnosis</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Ordinary approach</w:t>
            </w:r>
          </w:p>
        </w:tc>
        <w:tc>
          <w:tcPr>
            <w:tcW w:w="2410"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18" w:after="0"/>
              <w:ind w:right="-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Often incorrect prioritization of clinical problems</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12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Bad judgment, actions can be dangerous for the patient</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6</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Survey plan</w:t>
            </w:r>
          </w:p>
        </w:tc>
        <w:tc>
          <w:tcPr>
            <w:tcW w:w="2982"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8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12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7</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Plan </w:t>
            </w:r>
            <w:r>
              <w:rPr>
                <w:rFonts w:eastAsia="Times New Roman" w:cs="Times New Roman" w:ascii="Times New Roman" w:hAnsi="Times New Roman"/>
                <w:sz w:val="24"/>
                <w:szCs w:val="24"/>
              </w:rPr>
              <w:t>for a specific patient, taking into account the underlying and concomitant pathology</w:t>
            </w:r>
          </w:p>
        </w:tc>
        <w:tc>
          <w:tcPr>
            <w:tcW w:w="2982"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8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12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8</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Observation diary, epicrises</w:t>
            </w:r>
          </w:p>
        </w:tc>
        <w:tc>
          <w:tcPr>
            <w:tcW w:w="298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Analytical in assessment and plan</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Accurate, concise, organized</w:t>
            </w:r>
          </w:p>
        </w:tc>
        <w:tc>
          <w:tcPr>
            <w:tcW w:w="198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Reflects dynamics, new data</w:t>
            </w:r>
          </w:p>
        </w:tc>
        <w:tc>
          <w:tcPr>
            <w:tcW w:w="24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Disorganized, important data missing</w:t>
            </w:r>
          </w:p>
        </w:tc>
        <w:tc>
          <w:tcPr>
            <w:tcW w:w="2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No basic data or inaccurate data</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9</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Presentation of the medical history</w:t>
            </w:r>
          </w:p>
        </w:tc>
        <w:tc>
          <w:tcPr>
            <w:tcW w:w="298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focus on problems, selection of key facts full control of the situation</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precise, focused; choice of facts shows understanding of the problem</w:t>
            </w:r>
          </w:p>
        </w:tc>
        <w:tc>
          <w:tcPr>
            <w:tcW w:w="198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Report on the form, includes all the basic information;</w:t>
            </w:r>
          </w:p>
        </w:tc>
        <w:tc>
          <w:tcPr>
            <w:tcW w:w="24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Many important omissions, often including unreliable or unimportant facts</w:t>
            </w:r>
          </w:p>
        </w:tc>
        <w:tc>
          <w:tcPr>
            <w:tcW w:w="2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Lack of control over the situation, many important omissions, </w:t>
            </w:r>
            <w:r>
              <w:rPr>
                <w:rFonts w:eastAsia="Times New Roman" w:cs="Times New Roman" w:ascii="Times New Roman" w:hAnsi="Times New Roman"/>
                <w:sz w:val="24"/>
                <w:szCs w:val="24"/>
              </w:rPr>
              <w:t>many clarifying questions</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10</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Theoretical knowledge in relation to this case</w:t>
            </w:r>
          </w:p>
        </w:tc>
        <w:tc>
          <w:tcPr>
            <w:tcW w:w="298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Full understanding of the problem excellent knowledge</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Knows differential. Knows the basics and features, options</w:t>
            </w:r>
          </w:p>
        </w:tc>
        <w:tc>
          <w:tcPr>
            <w:tcW w:w="198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Knows the basics</w:t>
            </w:r>
          </w:p>
        </w:tc>
        <w:tc>
          <w:tcPr>
            <w:tcW w:w="24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Not always fully understanding the problem</w:t>
            </w:r>
          </w:p>
        </w:tc>
        <w:tc>
          <w:tcPr>
            <w:tcW w:w="212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Large gaps in knowledge</w:t>
            </w:r>
          </w:p>
        </w:tc>
      </w:tr>
    </w:tbl>
    <w:p>
      <w:pPr>
        <w:pStyle w:val="Normal1"/>
        <w:rPr>
          <w:rFonts w:ascii="Times New Roman" w:hAnsi="Times New Roman" w:eastAsia="Times New Roman" w:cs="Times New Roman"/>
          <w:sz w:val="24"/>
          <w:szCs w:val="24"/>
        </w:rPr>
      </w:pPr>
      <w:r>
        <w:br w:type="page"/>
      </w:r>
      <w:r>
        <w:rPr>
          <w:rFonts w:eastAsia="Times New Roman" w:cs="Times New Roman" w:ascii="Times New Roman" w:hAnsi="Times New Roman"/>
          <w:b/>
          <w:sz w:val="24"/>
          <w:szCs w:val="24"/>
        </w:rPr>
        <w:t>Score-rating evaluation of the seminar</w:t>
      </w: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(maximum 100 points)</w:t>
      </w:r>
    </w:p>
    <w:tbl>
      <w:tblPr>
        <w:tblStyle w:val="Table9"/>
        <w:tblW w:w="15161" w:type="dxa"/>
        <w:jc w:val="left"/>
        <w:tblInd w:w="-149" w:type="dxa"/>
        <w:tblLayout w:type="fixed"/>
        <w:tblCellMar>
          <w:top w:w="0" w:type="dxa"/>
          <w:left w:w="108" w:type="dxa"/>
          <w:bottom w:w="0" w:type="dxa"/>
          <w:right w:w="108" w:type="dxa"/>
        </w:tblCellMar>
        <w:tblLook w:val="0000"/>
      </w:tblPr>
      <w:tblGrid>
        <w:gridCol w:w="711"/>
        <w:gridCol w:w="427"/>
        <w:gridCol w:w="4495"/>
        <w:gridCol w:w="1906"/>
        <w:gridCol w:w="1906"/>
        <w:gridCol w:w="1906"/>
        <w:gridCol w:w="1905"/>
        <w:gridCol w:w="1903"/>
      </w:tblGrid>
      <w:tr>
        <w:trPr>
          <w:trHeight w:val="20" w:hRule="atLeast"/>
        </w:trPr>
        <w:tc>
          <w:tcPr>
            <w:tcW w:w="71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13" w:hanging="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27"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No.</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Criteria</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(assessed by a point system)</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10</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8</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6</w:t>
            </w:r>
          </w:p>
        </w:tc>
        <w:tc>
          <w:tcPr>
            <w:tcW w:w="190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4</w:t>
            </w:r>
          </w:p>
        </w:tc>
        <w:tc>
          <w:tcPr>
            <w:tcW w:w="190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2</w:t>
            </w:r>
          </w:p>
        </w:tc>
      </w:tr>
      <w:tr>
        <w:trPr>
          <w:trHeight w:val="20" w:hRule="atLeast"/>
          <w:cantSplit w:val="true"/>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2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49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color w:val="000000"/>
                <w:sz w:val="24"/>
                <w:szCs w:val="24"/>
              </w:rPr>
            </w:pPr>
            <w:r>
              <w:rPr>
                <w:rFonts w:eastAsia="Times New Roman" w:cs="Times New Roman" w:ascii="Times New Roman" w:hAnsi="Times New Roman"/>
                <w:b/>
                <w:i/>
                <w:color w:val="000000"/>
                <w:sz w:val="24"/>
                <w:szCs w:val="24"/>
              </w:rPr>
              <w:t>Excellent </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Good</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Satisfactory </w:t>
            </w:r>
          </w:p>
        </w:tc>
        <w:tc>
          <w:tcPr>
            <w:tcW w:w="190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Need correction</w:t>
            </w:r>
          </w:p>
        </w:tc>
        <w:tc>
          <w:tcPr>
            <w:tcW w:w="190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color w:val="000000"/>
                <w:sz w:val="24"/>
                <w:szCs w:val="24"/>
              </w:rPr>
              <w:t>Bad</w:t>
            </w:r>
          </w:p>
        </w:tc>
      </w:tr>
      <w:tr>
        <w:trPr>
          <w:trHeight w:val="20" w:hRule="atLeast"/>
        </w:trPr>
        <w:tc>
          <w:tcPr>
            <w:tcW w:w="71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13" w:hanging="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Oral questioning, discussion.</w:t>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Basic theoretical knowledge of fundamental disciplines</w:t>
            </w:r>
          </w:p>
        </w:tc>
        <w:tc>
          <w:tcPr>
            <w:tcW w:w="190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Full assimilation of the program material. Showed original thinking. Independently used additional literature.</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p>
        </w:tc>
        <w:tc>
          <w:tcPr>
            <w:tcW w:w="190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He showed standard thinking with full assimilation of the program material.</w:t>
            </w:r>
          </w:p>
        </w:tc>
        <w:tc>
          <w:tcPr>
            <w:tcW w:w="190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Assimilation of material with unprincipled inaccuracies</w:t>
            </w:r>
          </w:p>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in the answers.</w:t>
            </w:r>
          </w:p>
        </w:tc>
        <w:tc>
          <w:tcPr>
            <w:tcW w:w="190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Assimilation of the basic provisions</w:t>
            </w:r>
          </w:p>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Understanding your mistakes and willingness to correct them</w:t>
            </w:r>
          </w:p>
        </w:tc>
        <w:tc>
          <w:tcPr>
            <w:tcW w:w="1903"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Fundamental mistakes</w:t>
            </w:r>
          </w:p>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Constantly confused in the answers, did not work through the main literature</w:t>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Knowledge of etiology, pathogenesis</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Knowledge of clinical manifestations</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4</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Interpretation of survey data</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5</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Differential diagnosis, choice of examination tactics with an understanding of the information content and reliability of tests</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6</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The choice of treatment tactics with an understanding of the mechanism of action of drugs</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cantSplit w:val="true"/>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7</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Patient management: complications, prognosis, outcomes</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cantSplit w:val="true"/>
        </w:trPr>
        <w:tc>
          <w:tcPr>
            <w:tcW w:w="71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13"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8</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Solution of Test tasks - 20 tests</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 test - 1 point</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r>
      <w:tr>
        <w:trPr>
          <w:trHeight w:val="20" w:hRule="atLeast"/>
          <w:cantSplit w:val="true"/>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9</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Group communication skills and professional attitude</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(especially when using IMO)</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Contact and productive team member</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r>
    </w:tbl>
    <w:p>
      <w:pPr>
        <w:pStyle w:val="Normal1"/>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ind w:left="-426" w:hanging="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Score -rating assessment of practical skills of the patient curation (maximum 100 points)</w:t>
      </w:r>
    </w:p>
    <w:tbl>
      <w:tblPr>
        <w:tblStyle w:val="Table10"/>
        <w:tblW w:w="15168" w:type="dxa"/>
        <w:jc w:val="left"/>
        <w:tblInd w:w="-149" w:type="dxa"/>
        <w:tblLayout w:type="fixed"/>
        <w:tblCellMar>
          <w:top w:w="0" w:type="dxa"/>
          <w:left w:w="108" w:type="dxa"/>
          <w:bottom w:w="0" w:type="dxa"/>
          <w:right w:w="108" w:type="dxa"/>
        </w:tblCellMar>
        <w:tblLook w:val="0000"/>
      </w:tblPr>
      <w:tblGrid>
        <w:gridCol w:w="567"/>
        <w:gridCol w:w="1984"/>
        <w:gridCol w:w="3543"/>
        <w:gridCol w:w="3260"/>
        <w:gridCol w:w="3258"/>
        <w:gridCol w:w="2555"/>
      </w:tblGrid>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No.</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Criteria for evaluation</w:t>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points</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points</w:t>
            </w:r>
          </w:p>
        </w:tc>
        <w:tc>
          <w:tcPr>
            <w:tcW w:w="325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points</w:t>
            </w:r>
          </w:p>
        </w:tc>
        <w:tc>
          <w:tcPr>
            <w:tcW w:w="255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points</w:t>
            </w:r>
          </w:p>
        </w:tc>
      </w:tr>
      <w:tr>
        <w:trPr/>
        <w:tc>
          <w:tcPr>
            <w:tcW w:w="1516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mc:AlternateContent>
                <mc:Choice Requires="wps">
                  <w:drawing>
                    <wp:anchor behindDoc="1" distT="0" distB="0" distL="0" distR="0" simplePos="0" locked="0" layoutInCell="0" allowOverlap="1" relativeHeight="2">
                      <wp:simplePos x="0" y="0"/>
                      <wp:positionH relativeFrom="column">
                        <wp:posOffset>4191000</wp:posOffset>
                      </wp:positionH>
                      <wp:positionV relativeFrom="paragraph">
                        <wp:posOffset>127000</wp:posOffset>
                      </wp:positionV>
                      <wp:extent cx="12700" cy="9525"/>
                      <wp:effectExtent l="0" t="0" r="0" b="0"/>
                      <wp:wrapNone/>
                      <wp:docPr id="1" name="Shape 2"/>
                      <a:graphic xmlns:a="http://schemas.openxmlformats.org/drawingml/2006/main">
                        <a:graphicData uri="http://schemas.microsoft.com/office/word/2010/wordprocessingShape">
                          <wps:wsp>
                            <wps:cNvSpPr/>
                            <wps:spPr>
                              <a:xfrm>
                                <a:off x="0" y="0"/>
                                <a:ext cx="12600" cy="9360"/>
                              </a:xfrm>
                              <a:prstGeom prst="rect">
                                <a:avLst/>
                              </a:prstGeom>
                              <a:solidFill>
                                <a:srgbClr val="000000"/>
                              </a:solidFill>
                              <a:ln w="0">
                                <a:noFill/>
                              </a:ln>
                            </wps:spPr>
                            <wps:style>
                              <a:lnRef idx="0"/>
                              <a:fillRef idx="0"/>
                              <a:effectRef idx="0"/>
                              <a:fontRef idx="minor"/>
                            </wps:style>
                            <wps:txbx>
                              <w:txbxContent>
                                <w:p>
                                  <w:pPr>
                                    <w:pStyle w:val="Style16"/>
                                    <w:widowControl w:val="false"/>
                                    <w:spacing w:lineRule="exact" w:line="258" w:before="0" w:after="160"/>
                                    <w:ind w:left="0" w:right="0" w:hanging="0"/>
                                    <w:jc w:val="left"/>
                                    <w:rPr/>
                                  </w:pPr>
                                  <w:r>
                                    <w:rPr/>
                                  </w:r>
                                </w:p>
                              </w:txbxContent>
                            </wps:txbx>
                            <wps:bodyPr tIns="365760" bIns="365760" anchor="ctr">
                              <a:noAutofit/>
                            </wps:bodyPr>
                          </wps:wsp>
                        </a:graphicData>
                      </a:graphic>
                    </wp:anchor>
                  </w:drawing>
                </mc:Choice>
                <mc:Fallback>
                  <w:pict>
                    <v:rect id="shape_0" ID="Shape 2" path="m0,0l-2147483645,0l-2147483645,-2147483646l0,-2147483646xe" fillcolor="black" stroked="f" o:allowincell="f" style="position:absolute;margin-left:330pt;margin-top:10pt;width:0.95pt;height:0.7pt;mso-wrap-style:none;v-text-anchor:middle">
                      <v:fill o:detectmouseclick="t" type="solid" color2="white"/>
                      <v:stroke color="#3465a4" joinstyle="round" endcap="flat"/>
                      <v:textbox>
                        <w:txbxContent>
                          <w:p>
                            <w:pPr>
                              <w:pStyle w:val="Style16"/>
                              <w:widowControl w:val="false"/>
                              <w:spacing w:lineRule="exact" w:line="258" w:before="0" w:after="160"/>
                              <w:ind w:left="0" w:right="0" w:hanging="0"/>
                              <w:jc w:val="left"/>
                              <w:rPr/>
                            </w:pPr>
                            <w:r>
                              <w:rPr/>
                            </w:r>
                          </w:p>
                        </w:txbxContent>
                      </v:textbox>
                      <w10:wrap type="none"/>
                    </v:rect>
                  </w:pict>
                </mc:Fallback>
              </mc:AlternateContent>
            </w:r>
            <w:r>
              <w:rPr>
                <w:rFonts w:eastAsia="Times New Roman" w:cs="Times New Roman" w:ascii="Times New Roman" w:hAnsi="Times New Roman"/>
                <w:b/>
                <w:sz w:val="24"/>
                <w:szCs w:val="24"/>
              </w:rPr>
              <w:t>INTERVIEW OF THE PATIENT</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Completeness and accuracy</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Accurate, details the manifestations of the disease. Can identify the most important issue.</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Focused on patient comfort</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Gathers basic information, neat, identifies new problems.</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Incomplete or unfocused.</w:t>
              <w:tab/>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Inaccurate, misses the point, irrelevant data.</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Detail</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Organized, focused, highlights all clinical manifestations with an understanding of the course of the disease in a particular situation.</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Reveals the main symptoms</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incomplete data</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Demonstrates incorrect data, or their absence</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Consistency</w:t>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Establishing priorities of clinical problems in a relatively short time.</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Unable to fully control the history taking process</w:t>
            </w:r>
          </w:p>
        </w:tc>
        <w:tc>
          <w:tcPr>
            <w:tcW w:w="325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Allows the patient to pull himself aside, thereby lengthening the time. Uses leading questions (leads the patient to an answer that may be wrong).</w:t>
            </w:r>
          </w:p>
        </w:tc>
        <w:tc>
          <w:tcPr>
            <w:tcW w:w="255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Asks questions incorrectly or finishes history taking early without identifying important issues.</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Time management</w:t>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Maximum efficiency in the shortest time</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the time for collecting anamnesis is delayed</w:t>
            </w:r>
          </w:p>
        </w:tc>
        <w:tc>
          <w:tcPr>
            <w:tcW w:w="325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Wasting time inefficiently</w:t>
            </w:r>
          </w:p>
        </w:tc>
        <w:tc>
          <w:tcPr>
            <w:tcW w:w="255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Not in control of the whole situation.</w:t>
            </w:r>
          </w:p>
        </w:tc>
      </w:tr>
      <w:tr>
        <w:trPr/>
        <w:tc>
          <w:tcPr>
            <w:tcW w:w="15167" w:type="dxa"/>
            <w:gridSpan w:val="6"/>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PHYSICAL EXAMINATION</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The sequence and correctness of the physical examination</w:t>
            </w:r>
          </w:p>
        </w:tc>
        <w:tc>
          <w:tcPr>
            <w:tcW w:w="3543"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Performs correctly in sequence, confident, well-developed technique.</w:t>
            </w:r>
          </w:p>
        </w:tc>
        <w:tc>
          <w:tcPr>
            <w:tcW w:w="3260"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Knows the sequence, shows reasonable skill in preparing and performing the examination</w:t>
            </w:r>
          </w:p>
        </w:tc>
        <w:tc>
          <w:tcPr>
            <w:tcW w:w="3258"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Inconsistent, unsure, not fully proficient in examination skills, refuses to try basic examinations</w:t>
            </w:r>
          </w:p>
        </w:tc>
        <w:tc>
          <w:tcPr>
            <w:tcW w:w="255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Does not know the order and sequence of performing a physical examination, does not know its technique</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Skill of a special survey on the instructions of the teacher*</w:t>
            </w:r>
          </w:p>
        </w:tc>
        <w:tc>
          <w:tcPr>
            <w:tcW w:w="354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58"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55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Efficiency</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Revealed all the basic physical data, as well as details</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Identified the main symptoms</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incomplete data</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Identified data that does not correspond to objective data</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8</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Ability to analyze revealed data</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Changes the order of the examination depending on the identified symptoms, clarifies, details the manifestations.</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Assumes a range of diseases with similar changes without clarification and specification of manifestations.</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Cannot apply received interview and physical examination data to the patient.</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Doesn't do analysis.</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20 points</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16 points</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12 points</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points</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9-10</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Communication skills</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Won the favor of the patient even in a situation with a communication problem*</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Communication is quite effective</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Satisfactorily</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Failed to find patient contact</w:t>
            </w:r>
          </w:p>
        </w:tc>
      </w:tr>
    </w:tbl>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r>
        <w:br w:type="page"/>
      </w:r>
    </w:p>
    <w:p>
      <w:pPr>
        <w:pStyle w:val="Normal1"/>
        <w:spacing w:lineRule="auto" w:line="240" w:before="0" w:after="0"/>
        <w:ind w:left="-426" w:hanging="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Score-rating assessment of the ISW (independent student’s work) - creative task (maximum 90 points) + bonuses for language and time management</w:t>
      </w:r>
    </w:p>
    <w:tbl>
      <w:tblPr>
        <w:tblStyle w:val="Table11"/>
        <w:tblW w:w="15738" w:type="dxa"/>
        <w:jc w:val="left"/>
        <w:tblInd w:w="-574" w:type="dxa"/>
        <w:tblLayout w:type="fixed"/>
        <w:tblCellMar>
          <w:top w:w="0" w:type="dxa"/>
          <w:left w:w="108" w:type="dxa"/>
          <w:bottom w:w="0" w:type="dxa"/>
          <w:right w:w="108" w:type="dxa"/>
        </w:tblCellMar>
        <w:tblLook w:val="0000"/>
      </w:tblPr>
      <w:tblGrid>
        <w:gridCol w:w="569"/>
        <w:gridCol w:w="2580"/>
        <w:gridCol w:w="3402"/>
        <w:gridCol w:w="3260"/>
        <w:gridCol w:w="2977"/>
        <w:gridCol w:w="2949"/>
      </w:tblGrid>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20</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15</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1</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Focus on the problem</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Organized focused, highlights all relevant issues related to the main identified problem with an understanding of the specific clinical situation</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Organized, focused, highlights all issues related to the main identified problem, but there is no understanding of the specific clinical situation</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unfocused,</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Distraction to questions not related to the main problem identified</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Inaccurate, misses the point, irrelevant data.</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Informative, effective presentation</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Fully conveyed all the necessary information on the topic in a free, consistent, logical manner</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Adequately selected product form</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All the necessary information was conveyed in a logical manner, but with minor inaccuracies</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All the necessary information on the topic is presented chaotically, with minor errors.</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Important information on the topic is not reflected, blunders</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Reliability</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The material was selected on the basis of reliably established facts.</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Demonstrating understanding of the level or quality of evidence</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Some conclusions and conclusions are formulated on the basis of assumptions or incorrect facts. No full understanding of the level or quality of evidence</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Insufficient understanding of the problem, some conclusions and conclusions are based on incomplete and unproven data - dubious resources are used</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Conclusions and conclusions are not justified or incorrect</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Logic and consistency</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The presentation is logical and consistent , has internal unity, the provisions in the product follow one from the other and are logically interconnected</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It has internal unity, the provisions of the product follow one from the other, but there are inaccuracies</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There is no consistency and logic in the presentation, but it is possible to trace the main idea</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Jumps from one to another, hard to catch the main idea</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Literature analysis</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Literary data are presented in a logical relationship, demonstrate a deep study of the main and additional information resources</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Literature data demonstrates the development of the main literature</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Literary data is not always out of place, do not support the logic and evidence of presentations.</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Inconsistency and randomness in the presentation of data, inconsistency</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No basic knowledge</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6</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Practical significance</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High</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significant</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Not enough</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Unacceptable</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7</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Focus on the interests of the patient</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High</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Oriented</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Not enough</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Unacceptable</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8</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Applicability in future practice</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High</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Applicable</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Not enough</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Unacceptable</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Clarity of the presentation, quality of the report (speaker's assessment)</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Correctly, all the possibilities of Power Point or other e-gadgets are used to the point, fluency in the material, confident manner of presentation</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Overloaded or insufficiently used visual materials, incomplete knowledge of the material</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Visual materials are not informative Does not confidently report</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Does not own the material, does not know how to present it</w:t>
            </w:r>
          </w:p>
        </w:tc>
      </w:tr>
      <w:tr>
        <w:trPr>
          <w:trHeight w:val="427" w:hRule="atLeast"/>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bonus</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Language</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The product is completely passed in English (checks the head of the department)</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+ 10-20 points </w:t>
            </w:r>
            <w:r>
              <w:rPr>
                <w:rFonts w:eastAsia="Times New Roman" w:cs="Times New Roman" w:ascii="Times New Roman" w:hAnsi="Times New Roman"/>
                <w:color w:val="000000"/>
                <w:sz w:val="24"/>
                <w:szCs w:val="24"/>
              </w:rPr>
              <w:t>depending on quality</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The product is prepared in English, delivered in Russian/Kaz</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+ 5-10 points </w:t>
            </w:r>
            <w:r>
              <w:rPr>
                <w:rFonts w:eastAsia="Times New Roman" w:cs="Times New Roman" w:ascii="Times New Roman" w:hAnsi="Times New Roman"/>
                <w:color w:val="000000"/>
                <w:sz w:val="24"/>
                <w:szCs w:val="24"/>
              </w:rPr>
              <w:t>depending on the quality</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When preparing the product, English-language sources were used</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+ 2-5 points depending on quality</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427" w:hRule="atLeast"/>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bonus</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Time management*</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Product delivered ahead of schedule</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10 points are added</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 xml:space="preserve">Product delivered on time - </w:t>
            </w:r>
            <w:r>
              <w:rPr>
                <w:rFonts w:eastAsia="Times New Roman" w:cs="Times New Roman" w:ascii="Times New Roman" w:hAnsi="Times New Roman"/>
                <w:b/>
                <w:color w:val="000000"/>
                <w:sz w:val="24"/>
                <w:szCs w:val="24"/>
              </w:rPr>
              <w:t>no points awarded</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Delayed delivery without affecting quality</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Minus 2 points</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Released late</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Minus 10 points</w:t>
            </w:r>
          </w:p>
        </w:tc>
      </w:tr>
      <w:tr>
        <w:trPr>
          <w:trHeight w:val="427" w:hRule="atLeast"/>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Bonus</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Rating**</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Be sure to explain why this bonus is awarded.</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Additional points (up to 10 points)</w:t>
            </w:r>
          </w:p>
        </w:tc>
        <w:tc>
          <w:tcPr>
            <w:tcW w:w="918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Outstanding work such as:</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Best Group Performance</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Creativity</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Innovative approach to task completion</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At the suggestion of the group</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516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*Term - determined by the teacher, as a rule - the day of boundary control</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 xml:space="preserve">** thus, you can get a maximum of 90 points, in order to get above 90 - you need to show a result </w:t>
            </w:r>
            <w:r>
              <w:rPr>
                <w:rFonts w:eastAsia="Times New Roman" w:cs="Times New Roman" w:ascii="Times New Roman" w:hAnsi="Times New Roman"/>
                <w:b/>
                <w:color w:val="000000"/>
                <w:sz w:val="24"/>
                <w:szCs w:val="24"/>
              </w:rPr>
              <w:t>higher than expected</w:t>
            </w:r>
          </w:p>
        </w:tc>
      </w:tr>
    </w:tbl>
    <w:p>
      <w:pPr>
        <w:pStyle w:val="Normal1"/>
        <w:spacing w:lineRule="auto" w:line="240" w:before="0" w:after="160"/>
        <w:rPr>
          <w:rFonts w:ascii="Times New Roman" w:hAnsi="Times New Roman" w:eastAsia="Times New Roman" w:cs="Times New Roman"/>
          <w:b/>
          <w:b/>
          <w:sz w:val="24"/>
          <w:szCs w:val="24"/>
        </w:rPr>
      </w:pPr>
      <w:r>
        <w:rPr/>
      </w:r>
    </w:p>
    <w:sectPr>
      <w:type w:val="nextPage"/>
      <w:pgSz w:orient="landscape" w:w="16838" w:h="11906"/>
      <w:pgMar w:left="1134" w:right="1134" w:gutter="0" w:header="0" w:top="850" w:footer="0" w:bottom="170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Georgia">
    <w:charset w:val="01"/>
    <w:family w:val="roman"/>
    <w:pitch w:val="variable"/>
  </w:font>
  <w:font w:name="Noto Sans Symbols">
    <w:charset w:val="01"/>
    <w:family w:val="swiss"/>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391" w:hanging="360"/>
      </w:pPr>
      <w:rPr/>
    </w:lvl>
    <w:lvl w:ilvl="1">
      <w:start w:val="1"/>
      <w:numFmt w:val="lowerLetter"/>
      <w:lvlText w:val="%2."/>
      <w:lvlJc w:val="left"/>
      <w:pPr>
        <w:tabs>
          <w:tab w:val="num" w:pos="0"/>
        </w:tabs>
        <w:ind w:left="1111" w:hanging="360"/>
      </w:pPr>
      <w:rPr/>
    </w:lvl>
    <w:lvl w:ilvl="2">
      <w:start w:val="1"/>
      <w:numFmt w:val="lowerRoman"/>
      <w:lvlText w:val="%3."/>
      <w:lvlJc w:val="right"/>
      <w:pPr>
        <w:tabs>
          <w:tab w:val="num" w:pos="0"/>
        </w:tabs>
        <w:ind w:left="1831" w:hanging="180"/>
      </w:pPr>
      <w:rPr/>
    </w:lvl>
    <w:lvl w:ilvl="3">
      <w:start w:val="1"/>
      <w:numFmt w:val="decimal"/>
      <w:lvlText w:val="%4."/>
      <w:lvlJc w:val="left"/>
      <w:pPr>
        <w:tabs>
          <w:tab w:val="num" w:pos="0"/>
        </w:tabs>
        <w:ind w:left="2551" w:hanging="360"/>
      </w:pPr>
      <w:rPr/>
    </w:lvl>
    <w:lvl w:ilvl="4">
      <w:start w:val="1"/>
      <w:numFmt w:val="lowerLetter"/>
      <w:lvlText w:val="%5."/>
      <w:lvlJc w:val="left"/>
      <w:pPr>
        <w:tabs>
          <w:tab w:val="num" w:pos="0"/>
        </w:tabs>
        <w:ind w:left="3271" w:hanging="360"/>
      </w:pPr>
      <w:rPr/>
    </w:lvl>
    <w:lvl w:ilvl="5">
      <w:start w:val="1"/>
      <w:numFmt w:val="lowerRoman"/>
      <w:lvlText w:val="%6."/>
      <w:lvlJc w:val="right"/>
      <w:pPr>
        <w:tabs>
          <w:tab w:val="num" w:pos="0"/>
        </w:tabs>
        <w:ind w:left="3991" w:hanging="180"/>
      </w:pPr>
      <w:rPr/>
    </w:lvl>
    <w:lvl w:ilvl="6">
      <w:start w:val="1"/>
      <w:numFmt w:val="decimal"/>
      <w:lvlText w:val="%7."/>
      <w:lvlJc w:val="left"/>
      <w:pPr>
        <w:tabs>
          <w:tab w:val="num" w:pos="0"/>
        </w:tabs>
        <w:ind w:left="4711" w:hanging="360"/>
      </w:pPr>
      <w:rPr/>
    </w:lvl>
    <w:lvl w:ilvl="7">
      <w:start w:val="1"/>
      <w:numFmt w:val="lowerLetter"/>
      <w:lvlText w:val="%8."/>
      <w:lvlJc w:val="left"/>
      <w:pPr>
        <w:tabs>
          <w:tab w:val="num" w:pos="0"/>
        </w:tabs>
        <w:ind w:left="5431" w:hanging="360"/>
      </w:pPr>
      <w:rPr/>
    </w:lvl>
    <w:lvl w:ilvl="8">
      <w:start w:val="1"/>
      <w:numFmt w:val="lowerRoman"/>
      <w:lvlText w:val="%9."/>
      <w:lvlJc w:val="right"/>
      <w:pPr>
        <w:tabs>
          <w:tab w:val="num" w:pos="0"/>
        </w:tabs>
        <w:ind w:left="6151" w:hanging="180"/>
      </w:pPr>
      <w:rPr/>
    </w:lvl>
  </w:abstractNum>
  <w:abstractNum w:abstractNumId="4">
    <w:lvl w:ilvl="0">
      <w:start w:val="1"/>
      <w:numFmt w:val="decimal"/>
      <w:lvlText w:val="%1."/>
      <w:lvlJc w:val="left"/>
      <w:pPr>
        <w:tabs>
          <w:tab w:val="num" w:pos="0"/>
        </w:tabs>
        <w:ind w:left="720" w:hanging="360"/>
      </w:pPr>
      <w:rPr>
        <w:b w:val="false"/>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6"/>
      <w:numFmt w:val="decimal"/>
      <w:lvlText w:val="%1."/>
      <w:lvlJc w:val="left"/>
      <w:pPr>
        <w:tabs>
          <w:tab w:val="num" w:pos="0"/>
        </w:tabs>
        <w:ind w:left="435" w:hanging="435"/>
      </w:pPr>
      <w:rPr/>
    </w:lvl>
    <w:lvl w:ilvl="1">
      <w:start w:val="1"/>
      <w:numFmt w:val="bullet"/>
      <w:lvlText w:val=""/>
      <w:lvlJc w:val="left"/>
      <w:pPr>
        <w:tabs>
          <w:tab w:val="num" w:pos="0"/>
        </w:tabs>
        <w:ind w:left="0" w:hanging="0"/>
      </w:pPr>
      <w:rPr>
        <w:rFonts w:ascii="Noto Sans Symbols" w:hAnsi="Noto Sans Symbols" w:cs="Noto Sans Symbols" w:hint="default"/>
      </w:rPr>
    </w:lvl>
    <w:lvl w:ilvl="2">
      <w:start w:val="1"/>
      <w:numFmt w:val="bullet"/>
      <w:lvlText w:val=""/>
      <w:lvlJc w:val="left"/>
      <w:pPr>
        <w:tabs>
          <w:tab w:val="num" w:pos="0"/>
        </w:tabs>
        <w:ind w:left="0" w:hanging="0"/>
      </w:pPr>
      <w:rPr>
        <w:rFonts w:ascii="Noto Sans Symbols" w:hAnsi="Noto Sans Symbols" w:cs="Noto Sans Symbols" w:hint="default"/>
      </w:rPr>
    </w:lvl>
    <w:lvl w:ilvl="3">
      <w:start w:val="1"/>
      <w:numFmt w:val="bullet"/>
      <w:lvlText w:val=""/>
      <w:lvlJc w:val="left"/>
      <w:pPr>
        <w:tabs>
          <w:tab w:val="num" w:pos="0"/>
        </w:tabs>
        <w:ind w:left="0" w:hanging="0"/>
      </w:pPr>
      <w:rPr>
        <w:rFonts w:ascii="Noto Sans Symbols" w:hAnsi="Noto Sans Symbols" w:cs="Noto Sans Symbols" w:hint="default"/>
      </w:rPr>
    </w:lvl>
    <w:lvl w:ilvl="4">
      <w:start w:val="1"/>
      <w:numFmt w:val="bullet"/>
      <w:lvlText w:val=""/>
      <w:lvlJc w:val="left"/>
      <w:pPr>
        <w:tabs>
          <w:tab w:val="num" w:pos="0"/>
        </w:tabs>
        <w:ind w:left="0" w:hanging="0"/>
      </w:pPr>
      <w:rPr>
        <w:rFonts w:ascii="Noto Sans Symbols" w:hAnsi="Noto Sans Symbols" w:cs="Noto Sans Symbols" w:hint="default"/>
      </w:rPr>
    </w:lvl>
    <w:lvl w:ilvl="5">
      <w:start w:val="1"/>
      <w:numFmt w:val="bullet"/>
      <w:lvlText w:val=""/>
      <w:lvlJc w:val="left"/>
      <w:pPr>
        <w:tabs>
          <w:tab w:val="num" w:pos="0"/>
        </w:tabs>
        <w:ind w:left="0" w:hanging="0"/>
      </w:pPr>
      <w:rPr>
        <w:rFonts w:ascii="Noto Sans Symbols" w:hAnsi="Noto Sans Symbols" w:cs="Noto Sans Symbols" w:hint="default"/>
      </w:rPr>
    </w:lvl>
    <w:lvl w:ilvl="6">
      <w:start w:val="1"/>
      <w:numFmt w:val="bullet"/>
      <w:lvlText w:val=""/>
      <w:lvlJc w:val="left"/>
      <w:pPr>
        <w:tabs>
          <w:tab w:val="num" w:pos="0"/>
        </w:tabs>
        <w:ind w:left="0" w:hanging="0"/>
      </w:pPr>
      <w:rPr>
        <w:rFonts w:ascii="Noto Sans Symbols" w:hAnsi="Noto Sans Symbols" w:cs="Noto Sans Symbols" w:hint="default"/>
      </w:rPr>
    </w:lvl>
    <w:lvl w:ilvl="7">
      <w:start w:val="1"/>
      <w:numFmt w:val="bullet"/>
      <w:lvlText w:val=""/>
      <w:lvlJc w:val="left"/>
      <w:pPr>
        <w:tabs>
          <w:tab w:val="num" w:pos="0"/>
        </w:tabs>
        <w:ind w:left="0" w:hanging="0"/>
      </w:pPr>
      <w:rPr>
        <w:rFonts w:ascii="Noto Sans Symbols" w:hAnsi="Noto Sans Symbols" w:cs="Noto Sans Symbols" w:hint="default"/>
      </w:rPr>
    </w:lvl>
    <w:lvl w:ilvl="8">
      <w:start w:val="1"/>
      <w:numFmt w:val="bullet"/>
      <w:lvlText w:val=""/>
      <w:lvlJc w:val="left"/>
      <w:pPr>
        <w:tabs>
          <w:tab w:val="num" w:pos="0"/>
        </w:tabs>
        <w:ind w:left="0" w:hanging="0"/>
      </w:pPr>
      <w:rPr>
        <w:rFonts w:ascii="Noto Sans Symbols" w:hAnsi="Noto Sans Symbols" w:cs="Noto Sans Symbols" w:hint="default"/>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1">
    <w:name w:val="Heading 1"/>
    <w:basedOn w:val="Normal1"/>
    <w:next w:val="Normal1"/>
    <w:qFormat/>
    <w:pPr>
      <w:spacing w:lineRule="auto" w:line="240"/>
    </w:pPr>
    <w:rPr>
      <w:rFonts w:ascii="Times New Roman" w:hAnsi="Times New Roman" w:eastAsia="Times New Roman" w:cs="Times New Roman"/>
      <w:b/>
      <w:sz w:val="48"/>
      <w:szCs w:val="48"/>
    </w:rPr>
  </w:style>
  <w:style w:type="paragraph" w:styleId="2">
    <w:name w:val="Heading 2"/>
    <w:basedOn w:val="Normal1"/>
    <w:next w:val="Normal1"/>
    <w:qFormat/>
    <w:pPr>
      <w:keepNext w:val="true"/>
      <w:keepLines/>
      <w:spacing w:lineRule="auto" w:line="240" w:before="40" w:after="0"/>
    </w:pPr>
    <w:rPr>
      <w:rFonts w:ascii="Calibri" w:hAnsi="Calibri" w:eastAsia="Calibri" w:cs="Calibri"/>
      <w:color w:val="2F5496"/>
      <w:sz w:val="26"/>
      <w:szCs w:val="26"/>
    </w:rPr>
  </w:style>
  <w:style w:type="paragraph" w:styleId="3">
    <w:name w:val="Heading 3"/>
    <w:basedOn w:val="Normal1"/>
    <w:next w:val="Normal1"/>
    <w:qFormat/>
    <w:pPr>
      <w:keepNext w:val="true"/>
      <w:keepLines/>
      <w:pageBreakBefore w:val="false"/>
      <w:spacing w:lineRule="auto" w:line="240" w:before="280" w:after="80"/>
    </w:pPr>
    <w:rPr>
      <w:b/>
      <w:sz w:val="28"/>
      <w:szCs w:val="28"/>
    </w:rPr>
  </w:style>
  <w:style w:type="paragraph" w:styleId="4">
    <w:name w:val="Heading 4"/>
    <w:basedOn w:val="Normal1"/>
    <w:next w:val="Normal1"/>
    <w:qFormat/>
    <w:pPr>
      <w:keepNext w:val="true"/>
      <w:keepLines/>
      <w:pageBreakBefore w:val="false"/>
      <w:spacing w:lineRule="auto" w:line="240" w:before="240" w:after="40"/>
    </w:pPr>
    <w:rPr>
      <w:b/>
      <w:sz w:val="24"/>
      <w:szCs w:val="24"/>
    </w:rPr>
  </w:style>
  <w:style w:type="paragraph" w:styleId="5">
    <w:name w:val="Heading 5"/>
    <w:basedOn w:val="Normal1"/>
    <w:next w:val="Normal1"/>
    <w:qFormat/>
    <w:pPr>
      <w:keepNext w:val="true"/>
      <w:keepLines/>
      <w:pageBreakBefore w:val="false"/>
      <w:spacing w:lineRule="auto" w:line="240" w:before="220" w:after="40"/>
    </w:pPr>
    <w:rPr>
      <w:b/>
      <w:sz w:val="22"/>
      <w:szCs w:val="22"/>
    </w:rPr>
  </w:style>
  <w:style w:type="paragraph" w:styleId="6">
    <w:name w:val="Heading 6"/>
    <w:basedOn w:val="Normal1"/>
    <w:next w:val="Normal1"/>
    <w:qFormat/>
    <w:pPr>
      <w:keepNext w:val="true"/>
      <w:keepLines/>
      <w:pageBreakBefore w:val="false"/>
      <w:spacing w:lineRule="auto" w:line="240" w:before="200" w:after="40"/>
    </w:pPr>
    <w:rPr>
      <w:b/>
      <w:sz w:val="20"/>
      <w:szCs w:val="20"/>
    </w:rPr>
  </w:style>
  <w:style w:type="character" w:styleId="Style8">
    <w:name w:val="Интернет-ссылка"/>
    <w:rPr>
      <w:color w:val="000080"/>
      <w:u w:val="single"/>
    </w:rPr>
  </w:style>
  <w:style w:type="paragraph" w:styleId="Style9">
    <w:name w:val="Заголовок"/>
    <w:basedOn w:val="Normal"/>
    <w:next w:val="Style10"/>
    <w:qFormat/>
    <w:pPr>
      <w:keepNext w:val="true"/>
      <w:spacing w:before="240" w:after="120"/>
    </w:pPr>
    <w:rPr>
      <w:rFonts w:ascii="Liberation Sans" w:hAnsi="Liberation Sans" w:eastAsia="Noto Sans CJK SC" w:cs="Lohit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ohit Devanagari"/>
    </w:rPr>
  </w:style>
  <w:style w:type="paragraph" w:styleId="Style12">
    <w:name w:val="Caption"/>
    <w:basedOn w:val="Normal"/>
    <w:qFormat/>
    <w:pPr>
      <w:suppressLineNumbers/>
      <w:spacing w:before="120" w:after="120"/>
    </w:pPr>
    <w:rPr>
      <w:rFonts w:cs="Lohit Devanagari"/>
      <w:i/>
      <w:iCs/>
      <w:sz w:val="24"/>
      <w:szCs w:val="24"/>
    </w:rPr>
  </w:style>
  <w:style w:type="paragraph" w:styleId="Style13">
    <w:name w:val="Указатель"/>
    <w:basedOn w:val="Normal"/>
    <w:qFormat/>
    <w:pPr>
      <w:suppressLineNumbers/>
    </w:pPr>
    <w:rPr>
      <w:rFonts w:cs="Lohit Devanagari"/>
    </w:rPr>
  </w:style>
  <w:style w:type="paragraph" w:styleId="Normal1" w:default="1">
    <w:name w:val="LO-normal"/>
    <w:qFormat/>
    <w:pPr>
      <w:widowControl/>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Style14">
    <w:name w:val="Title"/>
    <w:basedOn w:val="Normal1"/>
    <w:next w:val="Normal1"/>
    <w:qFormat/>
    <w:pPr>
      <w:keepNext w:val="true"/>
      <w:keepLines/>
      <w:pageBreakBefore w:val="false"/>
      <w:spacing w:lineRule="auto" w:line="240" w:before="480" w:after="120"/>
    </w:pPr>
    <w:rPr>
      <w:b/>
      <w:sz w:val="72"/>
      <w:szCs w:val="72"/>
    </w:rPr>
  </w:style>
  <w:style w:type="paragraph" w:styleId="Style15">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Style16">
    <w:name w:val="Содержимое врезки"/>
    <w:basedOn w:val="Normal"/>
    <w:qFormat/>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queensu.ca/ctl/resources/instructional-strategies/problem-based-learning" TargetMode="External"/><Relationship Id="rId3" Type="http://schemas.openxmlformats.org/officeDocument/2006/relationships/hyperlink" Target="https://www.amazon.com/s/ref=dp_byline_sr_book_1?ie=UTF8&amp;field-author=Anthony+S.+Fauci&amp;text=Anthony+S.+Fauci&amp;sort=relevancerank&amp;search-alias=books" TargetMode="External"/><Relationship Id="rId4" Type="http://schemas.openxmlformats.org/officeDocument/2006/relationships/hyperlink" Target="https://www.amazon.com/Eugene-Braunwald/e/B000APRBT8/ref=dp_byline_cont_book_2" TargetMode="External"/><Relationship Id="rId5" Type="http://schemas.openxmlformats.org/officeDocument/2006/relationships/hyperlink" Target="https://www.amazon.com/Dennis-L-Kasper/e/B001ILFNIO/ref=dp_byline_cont_book_3" TargetMode="External"/><Relationship Id="rId6" Type="http://schemas.openxmlformats.org/officeDocument/2006/relationships/hyperlink" Target="https://www.amazon.com/s/ref=dp_byline_sr_book_4?ie=UTF8&amp;field-author=Stephen+L.+Hauser&amp;text=Stephen+L.+Hauser&amp;sort=relevancerank&amp;search-alias=books" TargetMode="External"/><Relationship Id="rId7" Type="http://schemas.openxmlformats.org/officeDocument/2006/relationships/hyperlink" Target="https://www.amazon.com/s/ref=dp_byline_sr_book_1?ie=UTF8&amp;field-author=John+E.+Bennett+MD&amp;text=John+E.+Bennett+MD&amp;sort=relevancerank&amp;search-alias=books" TargetMode="External"/><Relationship Id="rId8" Type="http://schemas.openxmlformats.org/officeDocument/2006/relationships/hyperlink" Target="https://www.amazon.com/s/ref=dp_byline_sr_book_2?ie=UTF8&amp;field-author=Raphael+Dolin+MD&amp;text=Raphael+Dolin+MD&amp;sort=relevancerank&amp;search-alias=books" TargetMode="External"/><Relationship Id="rId9" Type="http://schemas.openxmlformats.org/officeDocument/2006/relationships/hyperlink" Target="https://www.amazon.com/s/ref=dp_byline_sr_book_3?ie=UTF8&amp;field-author=Martin+J.+Blaser+MD&amp;text=Martin+J.+Blaser+MD&amp;sort=relevancerank&amp;search-alias=books" TargetMode="External"/><Relationship Id="rId10" Type="http://schemas.openxmlformats.org/officeDocument/2006/relationships/hyperlink" Target="https://www.amazon.com/s/ref=dp_byline_sr_ebooks_1?ie=UTF8&amp;field-author=Joseph+J.+Zorc&amp;text=Joseph+J.+Zorc&amp;sort=relevancerank&amp;search-alias=digital-text" TargetMode="External"/><Relationship Id="rId11" Type="http://schemas.openxmlformats.org/officeDocument/2006/relationships/hyperlink" Target="https://www.amazon.com/s/ref=dp_byline_sr_ebooks_2?ie=UTF8&amp;field-author=Elizabeth+R.+Alpern&amp;text=Elizabeth+R.+Alpern&amp;sort=relevancerank&amp;search-alias=digital-text" TargetMode="External"/><Relationship Id="rId12" Type="http://schemas.openxmlformats.org/officeDocument/2006/relationships/hyperlink" Target="https://www.amazon.com/s/ref=dp_byline_sr_ebooks_3?ie=UTF8&amp;field-author=Lawrence+W.+Brown&amp;text=Lawrence+W.+Brown&amp;sort=relevancerank&amp;search-alias=digital-text" TargetMode="External"/><Relationship Id="rId13" Type="http://schemas.openxmlformats.org/officeDocument/2006/relationships/hyperlink" Target="https://www.amazon.com/s/ref=dp_byline_sr_ebooks_4?ie=UTF8&amp;field-author=Kathleen+M.+Loomes&amp;text=Kathleen+M.+Loomes&amp;sort=relevancerank&amp;search-alias=digital-text" TargetMode="External"/><Relationship Id="rId14" Type="http://schemas.openxmlformats.org/officeDocument/2006/relationships/hyperlink" Target="https://www.amazon.com/s/ref=dp_byline_sr_book_1?ie=UTF8&amp;field-author=Stephen+Chapman&amp;text=Stephen+Chapman&amp;sort=relevancerank&amp;search-alias=books" TargetMode="External"/><Relationship Id="rId15" Type="http://schemas.openxmlformats.org/officeDocument/2006/relationships/hyperlink" Target="https://www.amazon.com/s/ref=dp_byline_sr_book_2?ie=UTF8&amp;field-author=Grace+Robinson&amp;text=Grace+Robinson&amp;sort=relevancerank&amp;search-alias=books" TargetMode="External"/><Relationship Id="rId16" Type="http://schemas.openxmlformats.org/officeDocument/2006/relationships/hyperlink" Target="https://www.amazon.com/s/ref=dp_byline_sr_book_3?ie=UTF8&amp;field-author=John+Stradling&amp;text=John+Stradling&amp;sort=relevancerank&amp;search-alias=books" TargetMode="External"/><Relationship Id="rId17" Type="http://schemas.openxmlformats.org/officeDocument/2006/relationships/hyperlink" Target="https://www.amazon.com/s/ref=dp_byline_sr_book_4?ie=UTF8&amp;field-author=Sophie+West&amp;text=Sophie+West&amp;sort=relevancerank&amp;search-alias=books" TargetMode="External"/><Relationship Id="rId18" Type="http://schemas.openxmlformats.org/officeDocument/2006/relationships/hyperlink" Target="about:blank" TargetMode="External"/><Relationship Id="rId19" Type="http://schemas.openxmlformats.org/officeDocument/2006/relationships/hyperlink" Target="about:blank" TargetMode="External"/><Relationship Id="rId20" Type="http://schemas.openxmlformats.org/officeDocument/2006/relationships/hyperlink" Target="https://www.amazon.com/s/ref=dp_byline_sr_book_1?ie=UTF8&amp;field-author=Senior+Lecturer+in+Haematology+Drew+Provan&amp;text=Senior+Lecturer+in+Haematology+Drew+Provan&amp;sort=relevancerank&amp;search-alias=books" TargetMode="External"/><Relationship Id="rId21" Type="http://schemas.openxmlformats.org/officeDocument/2006/relationships/hyperlink" Target="https://www.amazon.com/John-Wass/e/B09TPKHF5L/ref=dp_byline_cont_book_1" TargetMode="External"/><Relationship Id="rId22" Type="http://schemas.openxmlformats.org/officeDocument/2006/relationships/hyperlink" Target="https://www.amazon.com/s/ref=dp_byline_sr_book_2?ie=UTF8&amp;field-author=Wiebke+Arlt&amp;text=Wiebke+Arlt&amp;sort=relevancerank&amp;search-alias=books" TargetMode="External"/><Relationship Id="rId23" Type="http://schemas.openxmlformats.org/officeDocument/2006/relationships/hyperlink" Target="https://www.amazon.com/s/ref=dp_byline_sr_book_3?ie=UTF8&amp;field-author=Robert+Semple&amp;text=Robert+Semple&amp;sort=relevancerank&amp;search-alias=books" TargetMode="External"/><Relationship Id="rId24" Type="http://schemas.openxmlformats.org/officeDocument/2006/relationships/hyperlink" Target="https://www.amazon.com/s/ref=dp_byline_sr_book_1?ie=UTF8&amp;field-author=Anthony+Fauci&amp;text=Anthony+Fauci&amp;sort=relevancerank&amp;search-alias=books" TargetMode="External"/><Relationship Id="rId25" Type="http://schemas.openxmlformats.org/officeDocument/2006/relationships/hyperlink" Target="https://www.amazon.com/s/ref=dp_byline_sr_book_2?ie=UTF8&amp;field-author=Carol+Langford&amp;text=Carol+Langford&amp;sort=relevancerank&amp;search-alias=books" TargetMode="External"/><Relationship Id="rId26" Type="http://schemas.openxmlformats.org/officeDocument/2006/relationships/hyperlink" Target="about:blank" TargetMode="External"/><Relationship Id="rId27" Type="http://schemas.openxmlformats.org/officeDocument/2006/relationships/hyperlink" Target="about:blank" TargetMode="External"/><Relationship Id="rId28" Type="http://schemas.openxmlformats.org/officeDocument/2006/relationships/hyperlink" Target="about:blank" TargetMode="External"/><Relationship Id="rId29" Type="http://schemas.openxmlformats.org/officeDocument/2006/relationships/hyperlink" Target="about:blank" TargetMode="External"/><Relationship Id="rId30" Type="http://schemas.openxmlformats.org/officeDocument/2006/relationships/hyperlink" Target="http://www.uptodate.com/" TargetMode="External"/><Relationship Id="rId31" Type="http://schemas.openxmlformats.org/officeDocument/2006/relationships/hyperlink" Target="http://www.ncbi.nlm.nih.gov/PubMed/" TargetMode="External"/><Relationship Id="rId32" Type="http://schemas.openxmlformats.org/officeDocument/2006/relationships/hyperlink" Target="http://www.medline.com/" TargetMode="External"/><Relationship Id="rId33" Type="http://schemas.openxmlformats.org/officeDocument/2006/relationships/hyperlink" Target="https://medelement.com/" TargetMode="External"/><Relationship Id="rId34" Type="http://schemas.openxmlformats.org/officeDocument/2006/relationships/hyperlink" Target="https://www.cochranelibrary.com/" TargetMode="External"/><Relationship Id="rId35" Type="http://schemas.openxmlformats.org/officeDocument/2006/relationships/hyperlink" Target="https://www.medscape.com/familymedicine" TargetMode="External"/><Relationship Id="rId36" Type="http://schemas.openxmlformats.org/officeDocument/2006/relationships/hyperlink" Target="https://oxfordmedicine.com/" TargetMode="External"/><Relationship Id="rId37" Type="http://schemas.openxmlformats.org/officeDocument/2006/relationships/hyperlink" Target="about:blank" TargetMode="External"/><Relationship Id="rId38" Type="http://schemas.openxmlformats.org/officeDocument/2006/relationships/hyperlink" Target="https://www.wolterskluwer.com/en/solutions/uptodate" TargetMode="External"/><Relationship Id="rId39" Type="http://schemas.openxmlformats.org/officeDocument/2006/relationships/hyperlink" Target="https://www.youtube.com/c/osmosis" TargetMode="External"/><Relationship Id="rId40" Type="http://schemas.openxmlformats.org/officeDocument/2006/relationships/hyperlink" Target="https://www.youtube.com/c/NinjaNerdScience/videos" TargetMode="External"/><Relationship Id="rId41" Type="http://schemas.openxmlformats.org/officeDocument/2006/relationships/hyperlink" Target="https://www.youtube.com/c/CorMedicale" TargetMode="External"/><Relationship Id="rId42" Type="http://schemas.openxmlformats.org/officeDocument/2006/relationships/hyperlink" Target="https://www.youtube.com/channel/UCbYmF43dpGHz8gi2ugiXr0Q" TargetMode="External"/><Relationship Id="rId43" Type="http://schemas.openxmlformats.org/officeDocument/2006/relationships/hyperlink" Target="https://www.youtube.com/c/SciDrugs/videos" TargetMode="External"/><Relationship Id="rId44" Type="http://schemas.openxmlformats.org/officeDocument/2006/relationships/hyperlink" Target="https://univer.kaznu.kz/Content/instructions/&#1040;&#1082;&#1072;&#1076;&#1077;&#1084;&#1080;&#1095;&#1077;&#1089;&#1082;&#1072;&#1103; &#1087;&#1086;&#1083;&#1080;&#1090;&#1080;&#1082;&#1072;.pdf" TargetMode="External"/><Relationship Id="rId45" Type="http://schemas.openxmlformats.org/officeDocument/2006/relationships/hyperlink" Target="https://univer.kaznu.kz/Content/instructions/&#1055;&#1086;&#1083;&#1080;&#1090;&#1080;&#1082;&#1072; &#1072;&#1082;&#1072;&#1076;&#1077;&#1084;&#1080;&#1095;&#1077;&#1089;&#1082;&#1086;&#1081; &#1095;&#1077;&#1089;&#1090;&#1085;&#1086;&#1089;&#1090;&#1080;.pdf" TargetMode="External"/><Relationship Id="rId46" Type="http://schemas.openxmlformats.org/officeDocument/2006/relationships/hyperlink" Target="https://univer.kaznu.kz/Content/instructions/&#1055;&#1088;&#1072;&#1074;&#1080;&#1083;&#1072; &#1087;&#1088;&#1086;&#1074;&#1077;&#1076;&#1077;&#1085;&#1080;&#1103; &#1080;&#1090;&#1086;&#1075;&#1086;&#1074;&#1086;&#1075;&#1086; &#1082;&#1086;&#1085;&#1090;&#1088;&#1086;&#1083;&#1103; &#1051;&#1069;&#1057; 2022-2023 &#1091;&#1095;&#1075;&#1086;&#1076; &#1088;&#1091;&#1089;&#1103;&#1079;&#1099;&#1082;&#1077;.pdf" TargetMode="External"/><Relationship Id="rId47" Type="http://schemas.openxmlformats.org/officeDocument/2006/relationships/hyperlink" Target="https://univer.kaznu.kz/Content/instructions/&#1048;&#1085;&#1089;&#1090;&#1088;&#1091;&#1082;&#1094;&#1080;&#1103; &#1076;&#1083;&#1103; &#1080;&#1090;&#1086;&#1075;&#1086;&#1074;&#1086;&#1075;&#1086; &#1082;&#1086;&#1085;&#1090;&#1088;&#1086;&#1083;&#1103; &#1074;&#1077;&#1089;&#1077;&#1085;&#1085;&#1077;&#1075;&#1086; &#1089;&#1077;&#1084;&#1077;&#1089;&#1090;&#1088;&#1072; 2022-2023.pdf" TargetMode="External"/><Relationship Id="rId48" Type="http://schemas.openxmlformats.org/officeDocument/2006/relationships/hyperlink" Target="https://univer.kaznu.kz/Content/instructions/&#1055;&#1086;&#1083;&#1086;&#1078;&#1077;&#1085;&#1080;&#1077; &#1086; &#1087;&#1088;&#1086;&#1074;&#1077;&#1088;&#1082;&#1077; &#1085;&#1072; &#1085;&#1072;&#1083;&#1080;&#1095;&#1080;&#1077; &#1079;&#1072;&#1080;&#1084;&#1089;&#1090;&#1074;&#1086;&#1074;&#1072;&#1085;&#1080;&#1081; ru.pdf" TargetMode="Externa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ages>12</Pages>
  <Words>6621</Words>
  <Characters>37181</Characters>
  <CharactersWithSpaces>42728</CharactersWithSpaces>
  <Paragraphs>1113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